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444056A" w14:textId="77777777" w:rsidR="00181BC9" w:rsidRPr="00665AE1" w:rsidRDefault="00181BC9" w:rsidP="00181BC9">
      <w:pPr>
        <w:pStyle w:val="af5"/>
      </w:pPr>
      <w:bookmarkStart w:id="0" w:name="_Toc87867106"/>
      <w:bookmarkStart w:id="1" w:name="_Toc87874868"/>
      <w:bookmarkStart w:id="2" w:name="_Toc90986386"/>
      <w:r w:rsidRPr="00953286">
        <w:t>УСТРОЙСТВА И СИСТЕМЫ АВТОМАТИКИ</w:t>
      </w:r>
      <w:bookmarkEnd w:id="0"/>
      <w:bookmarkEnd w:id="1"/>
      <w:bookmarkEnd w:id="2"/>
    </w:p>
    <w:p w14:paraId="509097FC" w14:textId="77777777" w:rsidR="00181BC9" w:rsidRPr="00665AE1" w:rsidRDefault="00DF7B72" w:rsidP="00181BC9">
      <w:pPr>
        <w:spacing w:line="276" w:lineRule="auto"/>
        <w:jc w:val="center"/>
        <w:rPr>
          <w:szCs w:val="22"/>
        </w:rPr>
      </w:pPr>
      <w:r>
        <w:rPr>
          <w:szCs w:val="22"/>
        </w:rPr>
        <w:pict w14:anchorId="51BCD4FE">
          <v:rect id="_x0000_i1025" style="width:481.95pt;height:1.5pt" o:hralign="center" o:hrstd="t" o:hrnoshade="t" o:hr="t" fillcolor="black [3213]" stroked="f"/>
        </w:pict>
      </w:r>
    </w:p>
    <w:p w14:paraId="56238EA3" w14:textId="77777777" w:rsidR="00181BC9" w:rsidRDefault="00181BC9" w:rsidP="00181BC9">
      <w:pPr>
        <w:pStyle w:val="a7"/>
      </w:pPr>
      <w:bookmarkStart w:id="3" w:name="_Hlk87625073"/>
      <w:bookmarkEnd w:id="3"/>
      <w:r>
        <w:t>УДК 550.82</w:t>
      </w:r>
    </w:p>
    <w:p w14:paraId="2D23F93A" w14:textId="6C96CB5B" w:rsidR="00181BC9" w:rsidRPr="00DF7B72" w:rsidRDefault="00181BC9" w:rsidP="00181BC9">
      <w:pPr>
        <w:pStyle w:val="a9"/>
      </w:pPr>
      <w:r>
        <w:t xml:space="preserve">А.У. </w:t>
      </w:r>
      <w:proofErr w:type="spellStart"/>
      <w:r>
        <w:t>Касимова</w:t>
      </w:r>
      <w:proofErr w:type="spellEnd"/>
      <w:r>
        <w:t xml:space="preserve">, </w:t>
      </w:r>
      <w:hyperlink r:id="rId6" w:history="1">
        <w:r w:rsidR="00DF7B72" w:rsidRPr="008E0075">
          <w:rPr>
            <w:rStyle w:val="af9"/>
            <w:lang w:val="en-US"/>
          </w:rPr>
          <w:t>adina</w:t>
        </w:r>
        <w:r w:rsidR="00DF7B72" w:rsidRPr="008E0075">
          <w:rPr>
            <w:rStyle w:val="af9"/>
          </w:rPr>
          <w:t>.</w:t>
        </w:r>
        <w:r w:rsidR="00DF7B72" w:rsidRPr="008E0075">
          <w:rPr>
            <w:rStyle w:val="af9"/>
            <w:lang w:val="en-US"/>
          </w:rPr>
          <w:t>kasimova</w:t>
        </w:r>
        <w:r w:rsidR="00DF7B72" w:rsidRPr="008E0075">
          <w:rPr>
            <w:rStyle w:val="af9"/>
          </w:rPr>
          <w:t>.99@</w:t>
        </w:r>
        <w:r w:rsidR="00DF7B72" w:rsidRPr="008E0075">
          <w:rPr>
            <w:rStyle w:val="af9"/>
            <w:lang w:val="en-US"/>
          </w:rPr>
          <w:t>mail</w:t>
        </w:r>
        <w:r w:rsidR="00DF7B72" w:rsidRPr="008E0075">
          <w:rPr>
            <w:rStyle w:val="af9"/>
          </w:rPr>
          <w:t>.</w:t>
        </w:r>
        <w:proofErr w:type="spellStart"/>
        <w:r w:rsidR="00DF7B72" w:rsidRPr="008E0075">
          <w:rPr>
            <w:rStyle w:val="af9"/>
            <w:lang w:val="en-US"/>
          </w:rPr>
          <w:t>ru</w:t>
        </w:r>
        <w:proofErr w:type="spellEnd"/>
      </w:hyperlink>
      <w:r w:rsidR="00DF7B72">
        <w:t xml:space="preserve"> </w:t>
      </w:r>
    </w:p>
    <w:p w14:paraId="581D0321" w14:textId="79F9312E" w:rsidR="00181BC9" w:rsidRPr="00DF7B72" w:rsidRDefault="00181BC9" w:rsidP="00181BC9">
      <w:pPr>
        <w:pStyle w:val="a9"/>
      </w:pPr>
      <w:r>
        <w:t xml:space="preserve">С.Н. </w:t>
      </w:r>
      <w:proofErr w:type="spellStart"/>
      <w:r>
        <w:t>Верзунов</w:t>
      </w:r>
      <w:proofErr w:type="spellEnd"/>
      <w:r>
        <w:t xml:space="preserve">, </w:t>
      </w:r>
      <w:r w:rsidR="00DF7B72">
        <w:rPr>
          <w:lang w:val="en-US"/>
        </w:rPr>
        <w:fldChar w:fldCharType="begin"/>
      </w:r>
      <w:r w:rsidR="00DF7B72" w:rsidRPr="00DF7B72">
        <w:instrText xml:space="preserve"> </w:instrText>
      </w:r>
      <w:r w:rsidR="00DF7B72">
        <w:rPr>
          <w:lang w:val="en-US"/>
        </w:rPr>
        <w:instrText>HYPERLINK</w:instrText>
      </w:r>
      <w:r w:rsidR="00DF7B72" w:rsidRPr="00DF7B72">
        <w:instrText xml:space="preserve"> "</w:instrText>
      </w:r>
      <w:r w:rsidR="00DF7B72">
        <w:rPr>
          <w:lang w:val="en-US"/>
        </w:rPr>
        <w:instrText>mailto</w:instrText>
      </w:r>
      <w:r w:rsidR="00DF7B72" w:rsidRPr="00DF7B72">
        <w:instrText>:</w:instrText>
      </w:r>
      <w:r w:rsidR="00DF7B72">
        <w:rPr>
          <w:lang w:val="en-US"/>
        </w:rPr>
        <w:instrText>verzunov</w:instrText>
      </w:r>
      <w:r w:rsidR="00DF7B72">
        <w:instrText>@</w:instrText>
      </w:r>
      <w:r w:rsidR="00DF7B72">
        <w:rPr>
          <w:lang w:val="en-US"/>
        </w:rPr>
        <w:instrText>hotmail</w:instrText>
      </w:r>
      <w:r w:rsidR="00DF7B72">
        <w:instrText>.</w:instrText>
      </w:r>
      <w:r w:rsidR="00DF7B72">
        <w:rPr>
          <w:lang w:val="en-US"/>
        </w:rPr>
        <w:instrText>com</w:instrText>
      </w:r>
      <w:r w:rsidR="00DF7B72" w:rsidRPr="00DF7B72">
        <w:instrText xml:space="preserve">" </w:instrText>
      </w:r>
      <w:r w:rsidR="00DF7B72">
        <w:rPr>
          <w:lang w:val="en-US"/>
        </w:rPr>
        <w:fldChar w:fldCharType="separate"/>
      </w:r>
      <w:r w:rsidR="00DF7B72" w:rsidRPr="008E0075">
        <w:rPr>
          <w:rStyle w:val="af9"/>
          <w:lang w:val="en-US"/>
        </w:rPr>
        <w:t>verzunov</w:t>
      </w:r>
      <w:r w:rsidR="00DF7B72" w:rsidRPr="008E0075">
        <w:rPr>
          <w:rStyle w:val="af9"/>
        </w:rPr>
        <w:t>@</w:t>
      </w:r>
      <w:r w:rsidR="00DF7B72" w:rsidRPr="008E0075">
        <w:rPr>
          <w:rStyle w:val="af9"/>
          <w:lang w:val="en-US"/>
        </w:rPr>
        <w:t>hotmail</w:t>
      </w:r>
      <w:r w:rsidR="00DF7B72" w:rsidRPr="008E0075">
        <w:rPr>
          <w:rStyle w:val="af9"/>
        </w:rPr>
        <w:t>.</w:t>
      </w:r>
      <w:r w:rsidR="00DF7B72" w:rsidRPr="008E0075">
        <w:rPr>
          <w:rStyle w:val="af9"/>
          <w:lang w:val="en-US"/>
        </w:rPr>
        <w:t>com</w:t>
      </w:r>
      <w:r w:rsidR="00DF7B72">
        <w:rPr>
          <w:lang w:val="en-US"/>
        </w:rPr>
        <w:fldChar w:fldCharType="end"/>
      </w:r>
      <w:r w:rsidR="00DF7B72">
        <w:t xml:space="preserve"> </w:t>
      </w:r>
    </w:p>
    <w:p w14:paraId="6C0DF9C1" w14:textId="77777777" w:rsidR="00181BC9" w:rsidRDefault="00181BC9" w:rsidP="00181BC9">
      <w:pPr>
        <w:pStyle w:val="aa"/>
        <w:rPr>
          <w:rFonts w:cstheme="minorBidi"/>
        </w:rPr>
      </w:pPr>
      <w:r>
        <w:t xml:space="preserve">Институт </w:t>
      </w:r>
      <w:r w:rsidRPr="006E47D2">
        <w:t>машиноведения</w:t>
      </w:r>
      <w:r>
        <w:t xml:space="preserve"> и автоматики НАН </w:t>
      </w:r>
      <w:proofErr w:type="gramStart"/>
      <w:r>
        <w:t>КР</w:t>
      </w:r>
      <w:proofErr w:type="gramEnd"/>
    </w:p>
    <w:p w14:paraId="6F33491C" w14:textId="77777777" w:rsidR="00181BC9" w:rsidRDefault="00181BC9" w:rsidP="00181BC9">
      <w:pPr>
        <w:pStyle w:val="a8"/>
      </w:pPr>
      <w:bookmarkStart w:id="4" w:name="_Toc90986387"/>
      <w:r>
        <w:t>ОБЗОР И АНАЛИЗ СОВРЕМЕННЫХ МЕТОДОВ ИЗМЕРЕНИЯ ДИЭЛЕКТРИЧЕСКОЙ ПРОНИЦАЕМОСТИ ГОРНЫХ ПОРОД</w:t>
      </w:r>
      <w:bookmarkEnd w:id="4"/>
    </w:p>
    <w:p w14:paraId="3E0E26AA" w14:textId="0DDE8C55" w:rsidR="00475E8E" w:rsidRDefault="00181BC9" w:rsidP="00475E8E">
      <w:pPr>
        <w:pStyle w:val="ab"/>
      </w:pPr>
      <w:r>
        <w:t xml:space="preserve">В данной статье были проанализированы современные методы измерения диэлектрической проницаемости горных пород. </w:t>
      </w:r>
      <w:bookmarkStart w:id="5" w:name="_Toc87625645"/>
      <w:r>
        <w:t>Были рассмотрены особенности и недостатки каждого метода, а также области, в которых каждый из методов является наиболее подходящим. Продемонстрированы зависимости диэлектрической проницаемости от частоты микроволнового излучения, а также показаны методы вычисления комплексной диэлектрической проницаемости различных материалов</w:t>
      </w:r>
      <w:proofErr w:type="gramStart"/>
      <w:r>
        <w:t>.</w:t>
      </w:r>
      <w:proofErr w:type="gramEnd"/>
      <w:r w:rsidR="00475E8E" w:rsidRPr="00475E8E">
        <w:t xml:space="preserve"> </w:t>
      </w:r>
      <w:r w:rsidR="00475E8E">
        <w:t>П</w:t>
      </w:r>
      <w:r w:rsidR="00475E8E">
        <w:t xml:space="preserve">роанализировав все существующие методы, </w:t>
      </w:r>
      <w:r w:rsidR="00475E8E">
        <w:t>авторы</w:t>
      </w:r>
      <w:r w:rsidR="00475E8E">
        <w:t xml:space="preserve"> рекоменду</w:t>
      </w:r>
      <w:r w:rsidR="00475E8E">
        <w:t>ют метод</w:t>
      </w:r>
      <w:r w:rsidR="00475E8E">
        <w:t xml:space="preserve"> свободного пространства, как наиболее подходящий метод измерения, который позволит получить наиболее достоверные и полные результаты.</w:t>
      </w:r>
      <w:r w:rsidR="00475E8E">
        <w:t xml:space="preserve"> </w:t>
      </w:r>
      <w:r w:rsidR="00475E8E">
        <w:t>Метод свободного пространства является более подходящим методом по следующим причинам:</w:t>
      </w:r>
      <w:r w:rsidR="00475E8E">
        <w:t xml:space="preserve"> </w:t>
      </w:r>
      <w:r w:rsidR="00475E8E">
        <w:t>не требуется обработка материалов;</w:t>
      </w:r>
      <w:r w:rsidR="00475E8E">
        <w:t xml:space="preserve"> </w:t>
      </w:r>
      <w:r w:rsidR="00475E8E">
        <w:t>размеры образцов могут быть достаточно большими;</w:t>
      </w:r>
      <w:r w:rsidR="00475E8E">
        <w:t xml:space="preserve"> </w:t>
      </w:r>
      <w:r w:rsidR="00475E8E">
        <w:t>можно использовать при высоких температурах;</w:t>
      </w:r>
      <w:r w:rsidR="00475E8E">
        <w:t xml:space="preserve"> </w:t>
      </w:r>
      <w:r w:rsidR="00475E8E">
        <w:t>отсутствие механического контакта с образцом;</w:t>
      </w:r>
      <w:r w:rsidR="00475E8E">
        <w:t xml:space="preserve"> </w:t>
      </w:r>
      <w:r w:rsidR="00475E8E">
        <w:t>возможность измерения магнитных материалов.</w:t>
      </w:r>
    </w:p>
    <w:p w14:paraId="219C27DD" w14:textId="77777777" w:rsidR="00181BC9" w:rsidRDefault="00181BC9" w:rsidP="00181BC9">
      <w:pPr>
        <w:pStyle w:val="ac"/>
      </w:pPr>
      <w:proofErr w:type="gramStart"/>
      <w:r w:rsidRPr="00890E8F">
        <w:rPr>
          <w:rStyle w:val="af"/>
        </w:rPr>
        <w:t>Ключевые слова:</w:t>
      </w:r>
      <w:r>
        <w:t xml:space="preserve"> комплексная диэлектрическая проницаемость, конденсаторный метод, метод линии передач, коаксиальный метод, волноводный метод, коаксиальная ячейка, </w:t>
      </w:r>
      <w:proofErr w:type="spellStart"/>
      <w:r>
        <w:t>микрополосковые</w:t>
      </w:r>
      <w:proofErr w:type="spellEnd"/>
      <w:r>
        <w:t xml:space="preserve"> линии, объемный резонатор, коаксиальный пробник, метод свободного пространства.</w:t>
      </w:r>
      <w:proofErr w:type="gramEnd"/>
    </w:p>
    <w:p w14:paraId="7EB2188E" w14:textId="77777777" w:rsidR="00181BC9" w:rsidRDefault="00181BC9" w:rsidP="00181BC9">
      <w:pPr>
        <w:pStyle w:val="af3"/>
      </w:pPr>
      <w:r>
        <w:t>Введение</w:t>
      </w:r>
      <w:bookmarkEnd w:id="5"/>
      <w:r>
        <w:t xml:space="preserve"> </w:t>
      </w:r>
    </w:p>
    <w:p w14:paraId="11650689" w14:textId="3666D3F3" w:rsidR="00181BC9" w:rsidRDefault="00181BC9" w:rsidP="00181BC9">
      <w:r>
        <w:t>Измерение диэлектрической проницаемости и тангенса угла диэлектрических потерь в микроволновом диапазоне является актуальной задачей во многих областях фундаментальных и прикладных исследований [1,2,3]. Данные о диэлектрических характеристиках природных минералов</w:t>
      </w:r>
      <w:r w:rsidR="00EB4B28">
        <w:t xml:space="preserve"> </w:t>
      </w:r>
      <w:r w:rsidR="00EB4B28">
        <w:t>(табл. 1)</w:t>
      </w:r>
      <w:r>
        <w:t xml:space="preserve"> могут быть полезны в таких областях как геология, сейсмология, горнодобывающая промышленность и т.п. Экспериментальные данные  о комплексной диэлектрической проницаемости (КДП), определяемой </w:t>
      </w:r>
      <w:r w:rsidR="001542E6">
        <w:t>в широком частотном диапазоне,</w:t>
      </w:r>
      <w:r>
        <w:t xml:space="preserve"> позволяют создавать и тестировать спектроскопические модели почв и горных пород, исследовать многочастотные релаксационные процессы [4]. </w:t>
      </w:r>
    </w:p>
    <w:p w14:paraId="6BB86E7D" w14:textId="648B9539" w:rsidR="00181BC9" w:rsidRPr="00CB6D5A" w:rsidRDefault="00181BC9" w:rsidP="00181BC9">
      <w:pPr>
        <w:pStyle w:val="af6"/>
      </w:pPr>
      <w:r w:rsidRPr="00CB6D5A">
        <w:t xml:space="preserve">Таблица </w:t>
      </w:r>
      <w:r w:rsidR="00EF0EFC">
        <w:t>1</w:t>
      </w:r>
      <w:r w:rsidRPr="00CB6D5A">
        <w:t xml:space="preserve"> </w:t>
      </w:r>
      <w:r w:rsidR="00EF0EFC">
        <w:t>–</w:t>
      </w:r>
      <w:r w:rsidRPr="00CB6D5A">
        <w:t xml:space="preserve"> Диэлектрическая проницаемость минералов</w:t>
      </w:r>
    </w:p>
    <w:tbl>
      <w:tblPr>
        <w:tblStyle w:val="11"/>
        <w:tblW w:w="0" w:type="auto"/>
        <w:tblLook w:val="04A0" w:firstRow="1" w:lastRow="0" w:firstColumn="1" w:lastColumn="0" w:noHBand="0" w:noVBand="1"/>
      </w:tblPr>
      <w:tblGrid>
        <w:gridCol w:w="5352"/>
        <w:gridCol w:w="1436"/>
        <w:gridCol w:w="3066"/>
      </w:tblGrid>
      <w:tr w:rsidR="00EB4B28" w:rsidRPr="000C1B55" w14:paraId="5BED2998" w14:textId="77777777" w:rsidTr="00C103D1">
        <w:tc>
          <w:tcPr>
            <w:tcW w:w="0" w:type="auto"/>
            <w:hideMark/>
          </w:tcPr>
          <w:p w14:paraId="1D739E82" w14:textId="77777777" w:rsidR="00EB4B28" w:rsidRPr="000C1B55" w:rsidRDefault="00EB4B28" w:rsidP="001542E6">
            <w:pPr>
              <w:pStyle w:val="af7"/>
            </w:pPr>
            <w:r w:rsidRPr="000C1B55">
              <w:rPr>
                <w:color w:val="333333"/>
                <w:szCs w:val="24"/>
              </w:rPr>
              <w:t> </w:t>
            </w:r>
            <w:proofErr w:type="spellStart"/>
            <w:r w:rsidRPr="000C1B55">
              <w:t>Минералы</w:t>
            </w:r>
            <w:proofErr w:type="spellEnd"/>
          </w:p>
        </w:tc>
        <w:tc>
          <w:tcPr>
            <w:tcW w:w="0" w:type="auto"/>
            <w:hideMark/>
          </w:tcPr>
          <w:p w14:paraId="7794A6AF" w14:textId="77777777" w:rsidR="00EB4B28" w:rsidRPr="000C1B55" w:rsidRDefault="00EB4B28" w:rsidP="001542E6">
            <w:pPr>
              <w:pStyle w:val="af7"/>
            </w:pPr>
            <w:proofErr w:type="spellStart"/>
            <w:r w:rsidRPr="000C1B55">
              <w:t>Частота</w:t>
            </w:r>
            <w:proofErr w:type="spellEnd"/>
            <w:r w:rsidRPr="000C1B55">
              <w:t xml:space="preserve"> </w:t>
            </w:r>
            <w:proofErr w:type="spellStart"/>
            <w:r w:rsidRPr="000C1B55">
              <w:t>поля</w:t>
            </w:r>
            <w:proofErr w:type="spellEnd"/>
            <w:r w:rsidRPr="000C1B55">
              <w:t xml:space="preserve">, </w:t>
            </w:r>
            <w:proofErr w:type="spellStart"/>
            <w:r w:rsidRPr="000C1B55">
              <w:t>Гц</w:t>
            </w:r>
            <w:proofErr w:type="spellEnd"/>
          </w:p>
        </w:tc>
        <w:tc>
          <w:tcPr>
            <w:tcW w:w="0" w:type="auto"/>
            <w:hideMark/>
          </w:tcPr>
          <w:p w14:paraId="1CCB7007" w14:textId="77777777" w:rsidR="00EB4B28" w:rsidRPr="000C1B55" w:rsidRDefault="00EB4B28" w:rsidP="001542E6">
            <w:pPr>
              <w:pStyle w:val="af7"/>
            </w:pPr>
            <w:proofErr w:type="spellStart"/>
            <w:r w:rsidRPr="000C1B55">
              <w:t>e</w:t>
            </w:r>
            <w:r w:rsidRPr="000C1B55">
              <w:rPr>
                <w:sz w:val="18"/>
                <w:szCs w:val="18"/>
                <w:vertAlign w:val="subscript"/>
              </w:rPr>
              <w:t>отн</w:t>
            </w:r>
            <w:proofErr w:type="spellEnd"/>
          </w:p>
        </w:tc>
      </w:tr>
      <w:tr w:rsidR="00EB4B28" w:rsidRPr="000C1B55" w14:paraId="4BC9196A" w14:textId="77777777" w:rsidTr="00C103D1">
        <w:tc>
          <w:tcPr>
            <w:tcW w:w="0" w:type="auto"/>
            <w:gridSpan w:val="3"/>
            <w:hideMark/>
          </w:tcPr>
          <w:p w14:paraId="3461A1A2" w14:textId="77777777" w:rsidR="00EB4B28" w:rsidRPr="000C1B55" w:rsidRDefault="00EB4B28" w:rsidP="001542E6">
            <w:pPr>
              <w:pStyle w:val="af7"/>
              <w:rPr>
                <w:i/>
                <w:iCs/>
              </w:rPr>
            </w:pPr>
            <w:proofErr w:type="spellStart"/>
            <w:r w:rsidRPr="000C1B55">
              <w:rPr>
                <w:i/>
                <w:iCs/>
              </w:rPr>
              <w:t>Самородные</w:t>
            </w:r>
            <w:proofErr w:type="spellEnd"/>
            <w:r w:rsidRPr="000C1B55">
              <w:rPr>
                <w:i/>
                <w:iCs/>
              </w:rPr>
              <w:t>:</w:t>
            </w:r>
          </w:p>
        </w:tc>
      </w:tr>
      <w:tr w:rsidR="00EB4B28" w:rsidRPr="000C1B55" w14:paraId="3D5E4C1A" w14:textId="77777777" w:rsidTr="00C103D1">
        <w:tc>
          <w:tcPr>
            <w:tcW w:w="0" w:type="auto"/>
            <w:hideMark/>
          </w:tcPr>
          <w:p w14:paraId="7CE0DC82" w14:textId="77777777" w:rsidR="00EB4B28" w:rsidRPr="000C1B55" w:rsidRDefault="00EB4B28" w:rsidP="001542E6">
            <w:pPr>
              <w:pStyle w:val="af7"/>
            </w:pPr>
            <w:proofErr w:type="spellStart"/>
            <w:r w:rsidRPr="000C1B55">
              <w:t>алмаз</w:t>
            </w:r>
            <w:proofErr w:type="spellEnd"/>
            <w:r w:rsidRPr="000C1B55">
              <w:t xml:space="preserve"> </w:t>
            </w:r>
            <w:proofErr w:type="spellStart"/>
            <w:r w:rsidRPr="000C1B55">
              <w:t>графит</w:t>
            </w:r>
            <w:proofErr w:type="spellEnd"/>
            <w:r w:rsidRPr="000C1B55">
              <w:t xml:space="preserve"> </w:t>
            </w:r>
            <w:proofErr w:type="spellStart"/>
            <w:r w:rsidRPr="000C1B55">
              <w:t>сера</w:t>
            </w:r>
            <w:proofErr w:type="spellEnd"/>
          </w:p>
        </w:tc>
        <w:tc>
          <w:tcPr>
            <w:tcW w:w="0" w:type="auto"/>
            <w:hideMark/>
          </w:tcPr>
          <w:p w14:paraId="597861BC" w14:textId="77777777" w:rsidR="00EB4B28" w:rsidRPr="000C1B55" w:rsidRDefault="00EB4B28" w:rsidP="001542E6">
            <w:pPr>
              <w:pStyle w:val="af7"/>
            </w:pPr>
            <w:r w:rsidRPr="000C1B55">
              <w:t>10</w:t>
            </w:r>
            <w:r w:rsidRPr="000C1B55">
              <w:rPr>
                <w:sz w:val="18"/>
                <w:szCs w:val="18"/>
                <w:vertAlign w:val="superscript"/>
              </w:rPr>
              <w:t>4</w:t>
            </w:r>
            <w:r w:rsidRPr="000C1B55">
              <w:t> 10</w:t>
            </w:r>
            <w:r w:rsidRPr="000C1B55">
              <w:rPr>
                <w:sz w:val="18"/>
                <w:szCs w:val="18"/>
                <w:vertAlign w:val="superscript"/>
              </w:rPr>
              <w:t>8</w:t>
            </w:r>
            <w:r w:rsidRPr="000C1B55">
              <w:t> </w:t>
            </w:r>
            <w:r w:rsidRPr="000C1B55">
              <w:rPr>
                <w:sz w:val="18"/>
                <w:szCs w:val="18"/>
                <w:vertAlign w:val="superscript"/>
              </w:rPr>
              <w:t>-</w:t>
            </w:r>
          </w:p>
        </w:tc>
        <w:tc>
          <w:tcPr>
            <w:tcW w:w="0" w:type="auto"/>
            <w:hideMark/>
          </w:tcPr>
          <w:p w14:paraId="7A4A4289" w14:textId="77777777" w:rsidR="00EB4B28" w:rsidRPr="000C1B55" w:rsidRDefault="00EB4B28" w:rsidP="001542E6">
            <w:pPr>
              <w:pStyle w:val="af7"/>
            </w:pPr>
            <w:r w:rsidRPr="000C1B55">
              <w:t>16,5</w:t>
            </w:r>
          </w:p>
        </w:tc>
      </w:tr>
      <w:tr w:rsidR="00EB4B28" w:rsidRPr="000C1B55" w14:paraId="07E8BF63" w14:textId="34C0CFF2" w:rsidTr="00EB4B28">
        <w:tc>
          <w:tcPr>
            <w:tcW w:w="5933" w:type="dxa"/>
            <w:gridSpan w:val="3"/>
          </w:tcPr>
          <w:p w14:paraId="067D1705" w14:textId="38FDE04E" w:rsidR="00EB4B28" w:rsidRPr="000C1B55" w:rsidRDefault="00EB4B28" w:rsidP="001542E6">
            <w:pPr>
              <w:pStyle w:val="af7"/>
            </w:pPr>
            <w:proofErr w:type="spellStart"/>
            <w:r w:rsidRPr="000C1B55">
              <w:rPr>
                <w:i/>
                <w:iCs/>
              </w:rPr>
              <w:t>Хлориды</w:t>
            </w:r>
            <w:proofErr w:type="spellEnd"/>
            <w:r w:rsidRPr="000C1B55">
              <w:rPr>
                <w:i/>
                <w:iCs/>
              </w:rPr>
              <w:t xml:space="preserve"> и </w:t>
            </w:r>
            <w:proofErr w:type="spellStart"/>
            <w:r w:rsidRPr="000C1B55">
              <w:rPr>
                <w:i/>
                <w:iCs/>
              </w:rPr>
              <w:t>сульфаты</w:t>
            </w:r>
            <w:proofErr w:type="spellEnd"/>
            <w:r w:rsidRPr="000C1B55">
              <w:rPr>
                <w:i/>
                <w:iCs/>
              </w:rPr>
              <w:t>:</w:t>
            </w:r>
          </w:p>
        </w:tc>
      </w:tr>
      <w:tr w:rsidR="00EB4B28" w:rsidRPr="000C1B55" w14:paraId="0BB118B8" w14:textId="77777777" w:rsidTr="00C103D1">
        <w:tc>
          <w:tcPr>
            <w:tcW w:w="0" w:type="auto"/>
          </w:tcPr>
          <w:p w14:paraId="630EB5FE" w14:textId="6C4B6489" w:rsidR="00EB4B28" w:rsidRPr="00EF0EFC" w:rsidRDefault="00EB4B28" w:rsidP="001542E6">
            <w:pPr>
              <w:pStyle w:val="af7"/>
              <w:rPr>
                <w:lang w:val="ru-RU"/>
              </w:rPr>
            </w:pPr>
            <w:proofErr w:type="spellStart"/>
            <w:r w:rsidRPr="00181BC9">
              <w:rPr>
                <w:lang w:val="ru-RU"/>
              </w:rPr>
              <w:t>галит</w:t>
            </w:r>
            <w:proofErr w:type="spellEnd"/>
            <w:r w:rsidRPr="00181BC9">
              <w:rPr>
                <w:lang w:val="ru-RU"/>
              </w:rPr>
              <w:t xml:space="preserve"> сильвин ангидрит гипс барит</w:t>
            </w:r>
          </w:p>
        </w:tc>
        <w:tc>
          <w:tcPr>
            <w:tcW w:w="0" w:type="auto"/>
          </w:tcPr>
          <w:p w14:paraId="4668BE72" w14:textId="3B58DDD3" w:rsidR="00EB4B28" w:rsidRPr="000C1B55" w:rsidRDefault="00EB4B28" w:rsidP="001542E6">
            <w:pPr>
              <w:pStyle w:val="af7"/>
            </w:pPr>
            <w:r w:rsidRPr="000C1B55">
              <w:t>10</w:t>
            </w:r>
            <w:r w:rsidRPr="000C1B55">
              <w:rPr>
                <w:sz w:val="18"/>
                <w:szCs w:val="18"/>
                <w:vertAlign w:val="superscript"/>
              </w:rPr>
              <w:t>2</w:t>
            </w:r>
            <w:r w:rsidRPr="000C1B55">
              <w:t>-10</w:t>
            </w:r>
            <w:r w:rsidRPr="000C1B55">
              <w:rPr>
                <w:sz w:val="18"/>
                <w:szCs w:val="18"/>
                <w:vertAlign w:val="superscript"/>
              </w:rPr>
              <w:t>7</w:t>
            </w:r>
            <w:r w:rsidRPr="000C1B55">
              <w:t> </w:t>
            </w:r>
            <w:r w:rsidRPr="000C1B55">
              <w:rPr>
                <w:sz w:val="18"/>
                <w:szCs w:val="18"/>
                <w:vertAlign w:val="superscript"/>
              </w:rPr>
              <w:t>-</w:t>
            </w:r>
            <w:r w:rsidRPr="000C1B55">
              <w:t> </w:t>
            </w:r>
            <w:r w:rsidRPr="000C1B55">
              <w:rPr>
                <w:sz w:val="18"/>
                <w:szCs w:val="18"/>
                <w:vertAlign w:val="superscript"/>
              </w:rPr>
              <w:t>-</w:t>
            </w:r>
            <w:r w:rsidRPr="000C1B55">
              <w:t> </w:t>
            </w:r>
            <w:r w:rsidRPr="000C1B55">
              <w:rPr>
                <w:sz w:val="18"/>
                <w:szCs w:val="18"/>
                <w:vertAlign w:val="superscript"/>
              </w:rPr>
              <w:t>-</w:t>
            </w:r>
            <w:r w:rsidRPr="000C1B55">
              <w:t> </w:t>
            </w:r>
            <w:r w:rsidRPr="000C1B55">
              <w:rPr>
                <w:sz w:val="18"/>
                <w:szCs w:val="18"/>
                <w:vertAlign w:val="superscript"/>
              </w:rPr>
              <w:t>-</w:t>
            </w:r>
          </w:p>
        </w:tc>
        <w:tc>
          <w:tcPr>
            <w:tcW w:w="0" w:type="auto"/>
          </w:tcPr>
          <w:p w14:paraId="3B5EE7D7" w14:textId="29B57F94" w:rsidR="00EB4B28" w:rsidRPr="000C1B55" w:rsidRDefault="00EB4B28" w:rsidP="001542E6">
            <w:pPr>
              <w:pStyle w:val="af7"/>
            </w:pPr>
            <w:r w:rsidRPr="000C1B55">
              <w:t>6,2-5,7 6,2-4,4 6,3-5,7 4,23-4,24 12,2-7</w:t>
            </w:r>
          </w:p>
        </w:tc>
      </w:tr>
      <w:tr w:rsidR="00EB4B28" w:rsidRPr="000C1B55" w14:paraId="6F23F046" w14:textId="187E91A8" w:rsidTr="00EB4B28">
        <w:tc>
          <w:tcPr>
            <w:tcW w:w="5933" w:type="dxa"/>
            <w:gridSpan w:val="3"/>
            <w:hideMark/>
          </w:tcPr>
          <w:p w14:paraId="659A650F" w14:textId="77777777" w:rsidR="00EB4B28" w:rsidRPr="000C1B55" w:rsidRDefault="00EB4B28" w:rsidP="001542E6">
            <w:pPr>
              <w:pStyle w:val="af7"/>
            </w:pPr>
            <w:proofErr w:type="spellStart"/>
            <w:r w:rsidRPr="000C1B55">
              <w:t>Сульфиды</w:t>
            </w:r>
            <w:proofErr w:type="spellEnd"/>
            <w:r w:rsidRPr="000C1B55">
              <w:t>:</w:t>
            </w:r>
          </w:p>
        </w:tc>
      </w:tr>
      <w:tr w:rsidR="00EB4B28" w:rsidRPr="000C1B55" w14:paraId="72BE5665" w14:textId="77777777" w:rsidTr="00C103D1">
        <w:tc>
          <w:tcPr>
            <w:tcW w:w="0" w:type="auto"/>
            <w:hideMark/>
          </w:tcPr>
          <w:p w14:paraId="50C5A8FC" w14:textId="77777777" w:rsidR="00EB4B28" w:rsidRPr="000C1B55" w:rsidRDefault="00EB4B28" w:rsidP="001542E6">
            <w:pPr>
              <w:pStyle w:val="af7"/>
              <w:rPr>
                <w:lang w:val="ru-RU"/>
              </w:rPr>
            </w:pPr>
            <w:r w:rsidRPr="000C1B55">
              <w:rPr>
                <w:lang w:val="ru-RU"/>
              </w:rPr>
              <w:t xml:space="preserve">галенит пирит </w:t>
            </w:r>
            <w:proofErr w:type="spellStart"/>
            <w:proofErr w:type="gramStart"/>
            <w:r w:rsidRPr="000C1B55">
              <w:rPr>
                <w:lang w:val="ru-RU"/>
              </w:rPr>
              <w:t>арсено</w:t>
            </w:r>
            <w:proofErr w:type="spellEnd"/>
            <w:r w:rsidRPr="000C1B55">
              <w:rPr>
                <w:lang w:val="ru-RU"/>
              </w:rPr>
              <w:t>-пирит</w:t>
            </w:r>
            <w:proofErr w:type="gramEnd"/>
            <w:r w:rsidRPr="000C1B55">
              <w:rPr>
                <w:lang w:val="ru-RU"/>
              </w:rPr>
              <w:t xml:space="preserve"> сфалерит молибденит халькозин пирротин</w:t>
            </w:r>
          </w:p>
        </w:tc>
        <w:tc>
          <w:tcPr>
            <w:tcW w:w="0" w:type="auto"/>
            <w:hideMark/>
          </w:tcPr>
          <w:p w14:paraId="49F0B99E" w14:textId="77777777" w:rsidR="00EB4B28" w:rsidRPr="000C1B55" w:rsidRDefault="00EB4B28" w:rsidP="001542E6">
            <w:pPr>
              <w:pStyle w:val="af7"/>
            </w:pPr>
            <w:r w:rsidRPr="000C1B55">
              <w:t>10</w:t>
            </w:r>
            <w:r w:rsidRPr="000C1B55">
              <w:rPr>
                <w:sz w:val="18"/>
                <w:szCs w:val="18"/>
                <w:vertAlign w:val="superscript"/>
              </w:rPr>
              <w:t>5</w:t>
            </w:r>
            <w:r w:rsidRPr="000C1B55">
              <w:t>-10</w:t>
            </w:r>
            <w:r w:rsidRPr="000C1B55">
              <w:rPr>
                <w:sz w:val="18"/>
                <w:szCs w:val="18"/>
                <w:vertAlign w:val="superscript"/>
              </w:rPr>
              <w:t>9</w:t>
            </w:r>
            <w:r w:rsidRPr="000C1B55">
              <w:t> - - - - - -</w:t>
            </w:r>
          </w:p>
        </w:tc>
        <w:tc>
          <w:tcPr>
            <w:tcW w:w="0" w:type="auto"/>
            <w:hideMark/>
          </w:tcPr>
          <w:p w14:paraId="330DB5B8" w14:textId="77777777" w:rsidR="00EB4B28" w:rsidRPr="000C1B55" w:rsidRDefault="00EB4B28" w:rsidP="001542E6">
            <w:pPr>
              <w:pStyle w:val="af7"/>
            </w:pPr>
            <w:r w:rsidRPr="000C1B55">
              <w:t>81-17 12,1-6,9 12,1-6,9 81-33,7</w:t>
            </w:r>
          </w:p>
        </w:tc>
      </w:tr>
      <w:tr w:rsidR="00EB4B28" w:rsidRPr="000C1B55" w14:paraId="64BFACD6" w14:textId="49E38753" w:rsidTr="00EB4B28">
        <w:tc>
          <w:tcPr>
            <w:tcW w:w="5933" w:type="dxa"/>
            <w:gridSpan w:val="3"/>
            <w:hideMark/>
          </w:tcPr>
          <w:p w14:paraId="0B05489F" w14:textId="77777777" w:rsidR="00EB4B28" w:rsidRPr="000C1B55" w:rsidRDefault="00EB4B28" w:rsidP="001542E6">
            <w:pPr>
              <w:pStyle w:val="af7"/>
            </w:pPr>
            <w:proofErr w:type="spellStart"/>
            <w:r w:rsidRPr="000C1B55">
              <w:t>Карбонаты</w:t>
            </w:r>
            <w:proofErr w:type="spellEnd"/>
            <w:r w:rsidRPr="000C1B55">
              <w:t xml:space="preserve"> и </w:t>
            </w:r>
            <w:proofErr w:type="spellStart"/>
            <w:r w:rsidRPr="000C1B55">
              <w:t>фосфаты</w:t>
            </w:r>
            <w:proofErr w:type="spellEnd"/>
            <w:r w:rsidRPr="000C1B55">
              <w:t>:</w:t>
            </w:r>
          </w:p>
        </w:tc>
      </w:tr>
      <w:tr w:rsidR="00EB4B28" w:rsidRPr="000C1B55" w14:paraId="348E2CE9" w14:textId="77777777" w:rsidTr="00C103D1">
        <w:tc>
          <w:tcPr>
            <w:tcW w:w="0" w:type="auto"/>
            <w:hideMark/>
          </w:tcPr>
          <w:p w14:paraId="28568CF9" w14:textId="77777777" w:rsidR="00EB4B28" w:rsidRPr="000C1B55" w:rsidRDefault="00EB4B28" w:rsidP="001542E6">
            <w:pPr>
              <w:pStyle w:val="af7"/>
            </w:pPr>
            <w:proofErr w:type="spellStart"/>
            <w:r w:rsidRPr="000C1B55">
              <w:t>кальцит</w:t>
            </w:r>
            <w:proofErr w:type="spellEnd"/>
            <w:r w:rsidRPr="000C1B55">
              <w:t xml:space="preserve"> </w:t>
            </w:r>
            <w:proofErr w:type="spellStart"/>
            <w:r w:rsidRPr="000C1B55">
              <w:t>доломит</w:t>
            </w:r>
            <w:proofErr w:type="spellEnd"/>
            <w:r w:rsidRPr="000C1B55">
              <w:t xml:space="preserve"> </w:t>
            </w:r>
            <w:proofErr w:type="spellStart"/>
            <w:r w:rsidRPr="000C1B55">
              <w:t>сидерит</w:t>
            </w:r>
            <w:proofErr w:type="spellEnd"/>
            <w:r w:rsidRPr="000C1B55">
              <w:t xml:space="preserve"> </w:t>
            </w:r>
            <w:proofErr w:type="spellStart"/>
            <w:r w:rsidRPr="000C1B55">
              <w:t>церуссит</w:t>
            </w:r>
            <w:proofErr w:type="spellEnd"/>
          </w:p>
        </w:tc>
        <w:tc>
          <w:tcPr>
            <w:tcW w:w="0" w:type="auto"/>
            <w:hideMark/>
          </w:tcPr>
          <w:p w14:paraId="1B6AF045" w14:textId="77777777" w:rsidR="00EB4B28" w:rsidRPr="000C1B55" w:rsidRDefault="00EB4B28" w:rsidP="001542E6">
            <w:pPr>
              <w:pStyle w:val="af7"/>
            </w:pPr>
            <w:r w:rsidRPr="000C1B55">
              <w:t>- - - -</w:t>
            </w:r>
          </w:p>
        </w:tc>
        <w:tc>
          <w:tcPr>
            <w:tcW w:w="0" w:type="auto"/>
            <w:hideMark/>
          </w:tcPr>
          <w:p w14:paraId="7090494D" w14:textId="77777777" w:rsidR="00EB4B28" w:rsidRPr="000C1B55" w:rsidRDefault="00EB4B28" w:rsidP="001542E6">
            <w:pPr>
              <w:pStyle w:val="af7"/>
            </w:pPr>
            <w:r w:rsidRPr="000C1B55">
              <w:t>8,7-7,5 9,5-7,8 7,4-6,9 25,4-19,6</w:t>
            </w:r>
          </w:p>
        </w:tc>
      </w:tr>
      <w:tr w:rsidR="00EB4B28" w:rsidRPr="000C1B55" w14:paraId="21D63966" w14:textId="6740D862" w:rsidTr="00EB4B28">
        <w:tc>
          <w:tcPr>
            <w:tcW w:w="5933" w:type="dxa"/>
            <w:gridSpan w:val="3"/>
            <w:hideMark/>
          </w:tcPr>
          <w:p w14:paraId="4D5DC833" w14:textId="77777777" w:rsidR="00EB4B28" w:rsidRPr="000C1B55" w:rsidRDefault="00EB4B28" w:rsidP="001542E6">
            <w:pPr>
              <w:pStyle w:val="af7"/>
            </w:pPr>
            <w:proofErr w:type="spellStart"/>
            <w:r w:rsidRPr="000C1B55">
              <w:t>Силикаты</w:t>
            </w:r>
            <w:proofErr w:type="spellEnd"/>
            <w:r w:rsidRPr="000C1B55">
              <w:t>:</w:t>
            </w:r>
          </w:p>
        </w:tc>
      </w:tr>
      <w:tr w:rsidR="00EB4B28" w:rsidRPr="000C1B55" w14:paraId="6CE5E795" w14:textId="77777777" w:rsidTr="00C103D1">
        <w:tc>
          <w:tcPr>
            <w:tcW w:w="0" w:type="auto"/>
            <w:hideMark/>
          </w:tcPr>
          <w:p w14:paraId="3264D4F9" w14:textId="77777777" w:rsidR="00EB4B28" w:rsidRPr="000C1B55" w:rsidRDefault="00EB4B28" w:rsidP="001542E6">
            <w:pPr>
              <w:pStyle w:val="af7"/>
              <w:rPr>
                <w:lang w:val="ru-RU"/>
              </w:rPr>
            </w:pPr>
            <w:r w:rsidRPr="000C1B55">
              <w:rPr>
                <w:lang w:val="ru-RU"/>
              </w:rPr>
              <w:t>авгит актинолит эгирин роговая обманка тремолит альмандин альбит олигоклаз андезин лабрадор анортит</w:t>
            </w:r>
          </w:p>
        </w:tc>
        <w:tc>
          <w:tcPr>
            <w:tcW w:w="0" w:type="auto"/>
            <w:hideMark/>
          </w:tcPr>
          <w:p w14:paraId="614B22E8" w14:textId="77777777" w:rsidR="00EB4B28" w:rsidRPr="000C1B55" w:rsidRDefault="00EB4B28" w:rsidP="001542E6">
            <w:pPr>
              <w:pStyle w:val="af7"/>
            </w:pPr>
            <w:r w:rsidRPr="000C1B55">
              <w:t>10</w:t>
            </w:r>
            <w:r w:rsidRPr="000C1B55">
              <w:rPr>
                <w:sz w:val="18"/>
                <w:szCs w:val="18"/>
                <w:vertAlign w:val="superscript"/>
              </w:rPr>
              <w:t>2</w:t>
            </w:r>
            <w:r w:rsidRPr="000C1B55">
              <w:t>-10</w:t>
            </w:r>
            <w:r w:rsidRPr="000C1B55">
              <w:rPr>
                <w:sz w:val="18"/>
                <w:szCs w:val="18"/>
                <w:vertAlign w:val="superscript"/>
              </w:rPr>
              <w:t>7</w:t>
            </w:r>
            <w:r w:rsidRPr="000C1B55">
              <w:t> - - - - - - - - - -</w:t>
            </w:r>
          </w:p>
        </w:tc>
        <w:tc>
          <w:tcPr>
            <w:tcW w:w="0" w:type="auto"/>
            <w:hideMark/>
          </w:tcPr>
          <w:p w14:paraId="1A86FEF1" w14:textId="77777777" w:rsidR="00EB4B28" w:rsidRPr="000C1B55" w:rsidRDefault="00EB4B28" w:rsidP="001542E6">
            <w:pPr>
              <w:pStyle w:val="af7"/>
            </w:pPr>
            <w:r w:rsidRPr="000C1B55">
              <w:t>10,3-6,9 6,6 7,2 5,8-4,9 7,6 4,3 5,63-5,39 6,06-6,03 6,2 6,47 6,51</w:t>
            </w:r>
          </w:p>
        </w:tc>
      </w:tr>
      <w:tr w:rsidR="00EB4B28" w:rsidRPr="000C1B55" w14:paraId="491B8125" w14:textId="7E91E372" w:rsidTr="00EB4B28">
        <w:tc>
          <w:tcPr>
            <w:tcW w:w="5933" w:type="dxa"/>
            <w:gridSpan w:val="3"/>
            <w:hideMark/>
          </w:tcPr>
          <w:p w14:paraId="4AF23657" w14:textId="77777777" w:rsidR="00EB4B28" w:rsidRPr="000C1B55" w:rsidRDefault="00EB4B28" w:rsidP="001542E6">
            <w:pPr>
              <w:pStyle w:val="af7"/>
            </w:pPr>
            <w:proofErr w:type="spellStart"/>
            <w:r w:rsidRPr="000C1B55">
              <w:t>Окислы</w:t>
            </w:r>
            <w:proofErr w:type="spellEnd"/>
            <w:r w:rsidRPr="000C1B55">
              <w:t>:</w:t>
            </w:r>
          </w:p>
        </w:tc>
      </w:tr>
      <w:tr w:rsidR="00EB4B28" w:rsidRPr="000C1B55" w14:paraId="24E54611" w14:textId="77777777" w:rsidTr="00C103D1">
        <w:trPr>
          <w:trHeight w:val="739"/>
        </w:trPr>
        <w:tc>
          <w:tcPr>
            <w:tcW w:w="0" w:type="auto"/>
            <w:hideMark/>
          </w:tcPr>
          <w:p w14:paraId="3F36449B" w14:textId="77777777" w:rsidR="00EB4B28" w:rsidRPr="000C1B55" w:rsidRDefault="00EB4B28" w:rsidP="001542E6">
            <w:pPr>
              <w:pStyle w:val="af7"/>
              <w:rPr>
                <w:lang w:val="ru-RU"/>
              </w:rPr>
            </w:pPr>
            <w:r w:rsidRPr="000C1B55">
              <w:rPr>
                <w:lang w:val="ru-RU"/>
              </w:rPr>
              <w:t>кварц лимонит рутил куприт касситерит гематит вода</w:t>
            </w:r>
          </w:p>
        </w:tc>
        <w:tc>
          <w:tcPr>
            <w:tcW w:w="0" w:type="auto"/>
            <w:hideMark/>
          </w:tcPr>
          <w:p w14:paraId="1FF2B1D2" w14:textId="77777777" w:rsidR="00EB4B28" w:rsidRPr="000C1B55" w:rsidRDefault="00EB4B28" w:rsidP="001542E6">
            <w:pPr>
              <w:pStyle w:val="af7"/>
            </w:pPr>
            <w:r w:rsidRPr="000C1B55">
              <w:t>10</w:t>
            </w:r>
            <w:r w:rsidRPr="000C1B55">
              <w:rPr>
                <w:sz w:val="18"/>
                <w:szCs w:val="18"/>
                <w:vertAlign w:val="superscript"/>
              </w:rPr>
              <w:t>5</w:t>
            </w:r>
            <w:r w:rsidRPr="000C1B55">
              <w:t>-10</w:t>
            </w:r>
            <w:r w:rsidRPr="000C1B55">
              <w:rPr>
                <w:sz w:val="18"/>
                <w:szCs w:val="18"/>
                <w:vertAlign w:val="superscript"/>
              </w:rPr>
              <w:t>9</w:t>
            </w:r>
            <w:r w:rsidRPr="000C1B55">
              <w:t> - - - - - -</w:t>
            </w:r>
          </w:p>
        </w:tc>
        <w:tc>
          <w:tcPr>
            <w:tcW w:w="0" w:type="auto"/>
            <w:hideMark/>
          </w:tcPr>
          <w:p w14:paraId="3C9C9204" w14:textId="77777777" w:rsidR="00EB4B28" w:rsidRPr="000C1B55" w:rsidRDefault="00EB4B28" w:rsidP="001542E6">
            <w:pPr>
              <w:pStyle w:val="af7"/>
            </w:pPr>
            <w:r w:rsidRPr="000C1B55">
              <w:t>4,59-4,54 11-10 173-86 6,35-5,65 170-25</w:t>
            </w:r>
          </w:p>
        </w:tc>
      </w:tr>
    </w:tbl>
    <w:p w14:paraId="0ABDC5EF" w14:textId="77777777" w:rsidR="00181BC9" w:rsidRDefault="00181BC9" w:rsidP="00181BC9">
      <w:pPr>
        <w:spacing w:before="100" w:beforeAutospacing="1" w:after="100" w:afterAutospacing="1"/>
        <w:ind w:firstLine="0"/>
        <w:jc w:val="left"/>
      </w:pPr>
      <w:r>
        <w:lastRenderedPageBreak/>
        <w:t xml:space="preserve">Исследование диэлектрических свойств горных пород в микроволновом диапазоне является технически сложной задачей из-за сильного поглощения электромагнитного излучения </w:t>
      </w:r>
      <w:proofErr w:type="gramStart"/>
      <w:r>
        <w:t>в</w:t>
      </w:r>
      <w:proofErr w:type="gramEnd"/>
      <w:r>
        <w:t xml:space="preserve"> среде. Так как комплексная диэлектрическая проницаемость вещества, определяемая как:</w:t>
      </w:r>
    </w:p>
    <w:p w14:paraId="2D5F0771" w14:textId="77777777" w:rsidR="00181BC9" w:rsidRDefault="00181BC9" w:rsidP="00181BC9">
      <w:pPr>
        <w:pStyle w:val="af0"/>
      </w:pPr>
      <w:r>
        <w:tab/>
      </w:r>
      <w:bookmarkStart w:id="6" w:name="_GoBack"/>
      <w:bookmarkEnd w:id="6"/>
      <w:r>
        <w:t xml:space="preserve">ε = </w:t>
      </w:r>
      <w:bookmarkStart w:id="7" w:name="_Hlk85538538"/>
      <w:r>
        <w:t>ε</w:t>
      </w:r>
      <w:r>
        <w:rPr>
          <w:vertAlign w:val="subscript"/>
        </w:rPr>
        <w:t>1</w:t>
      </w:r>
      <w:bookmarkEnd w:id="7"/>
      <w:r>
        <w:rPr>
          <w:vertAlign w:val="subscript"/>
        </w:rPr>
        <w:t xml:space="preserve"> </w:t>
      </w:r>
      <w:r>
        <w:t xml:space="preserve">+ </w:t>
      </w:r>
      <w:r>
        <w:rPr>
          <w:lang w:val="en-US"/>
        </w:rPr>
        <w:t>j</w:t>
      </w:r>
      <w:r>
        <w:t>ε</w:t>
      </w:r>
      <w:r>
        <w:rPr>
          <w:vertAlign w:val="subscript"/>
        </w:rPr>
        <w:t>2</w:t>
      </w:r>
      <w:r>
        <w:t>,</w:t>
      </w:r>
      <w:r>
        <w:tab/>
        <w:t xml:space="preserve"> (1)</w:t>
      </w:r>
    </w:p>
    <w:p w14:paraId="31AD3492" w14:textId="77777777" w:rsidR="00181BC9" w:rsidRDefault="00181BC9" w:rsidP="001542E6">
      <w:pPr>
        <w:ind w:firstLine="0"/>
      </w:pPr>
      <w:r>
        <w:t>где действительная часть (ε</w:t>
      </w:r>
      <w:r>
        <w:rPr>
          <w:vertAlign w:val="subscript"/>
        </w:rPr>
        <w:t>1</w:t>
      </w:r>
      <w:r>
        <w:t>) определяет поляризованность, а мнимая (</w:t>
      </w:r>
      <w:r>
        <w:rPr>
          <w:b/>
          <w:bCs/>
        </w:rPr>
        <w:t>ε</w:t>
      </w:r>
      <w:r>
        <w:rPr>
          <w:b/>
          <w:bCs/>
          <w:vertAlign w:val="subscript"/>
        </w:rPr>
        <w:t>2</w:t>
      </w:r>
      <w:r>
        <w:t xml:space="preserve">)- вносимые потери, сама по себе не поддается прямому измерению, то она рассчитывается по таким измеряемым величинам, как коэффициент отражения и пропускания, тангенс угла потерь, угол Брюстера и др. [5] </w:t>
      </w:r>
    </w:p>
    <w:p w14:paraId="5CC6998F" w14:textId="77777777" w:rsidR="00181BC9" w:rsidRDefault="00181BC9" w:rsidP="00181BC9">
      <w:r>
        <w:t xml:space="preserve">В настоящее время существуют множество методов по измерению диэлектрических свойств материалов, однако не все они подходят для решения данной конкретной проблемы [6]. Согласно [7], все эти методы можно разделить на несколько групп: резонансные, коаксиальные и волноводные, широкополосные, методы, основанные на использовании волн в свободном пространстве, а также неразрушающие методы. </w:t>
      </w:r>
      <w:bookmarkStart w:id="8" w:name="_Toc87625646"/>
      <w:r>
        <w:t xml:space="preserve">Выбор метода измерения зависит от величины диэлектрической проницаемости ε', диэлектрических потерь ε", диапазона температур и частот, в котором производятся измерения. Измерения параметров цепей и сигналов достигаются с помощью емкостных мостов, Q-метров, измерителей коэффициента стоячей волны, анализаторов спектров частот, измерительных генераторов, измерителей </w:t>
      </w:r>
      <w:proofErr w:type="spellStart"/>
      <w:r>
        <w:t>импедансов</w:t>
      </w:r>
      <w:proofErr w:type="spellEnd"/>
      <w:r>
        <w:t xml:space="preserve"> и т.п.</w:t>
      </w:r>
    </w:p>
    <w:p w14:paraId="49FDD898" w14:textId="77777777" w:rsidR="00181BC9" w:rsidRDefault="00181BC9" w:rsidP="00181BC9">
      <w:pPr>
        <w:pStyle w:val="af3"/>
      </w:pPr>
      <w:bookmarkStart w:id="9" w:name="_Toc87625647"/>
      <w:bookmarkEnd w:id="8"/>
      <w:r>
        <w:t>Конденсаторный метод</w:t>
      </w:r>
      <w:bookmarkEnd w:id="9"/>
      <w:r>
        <w:t xml:space="preserve"> </w:t>
      </w:r>
    </w:p>
    <w:p w14:paraId="2A6B0A4C" w14:textId="77777777" w:rsidR="00181BC9" w:rsidRDefault="00181BC9" w:rsidP="00181BC9">
      <w:pPr>
        <w:rPr>
          <w:b/>
          <w:bCs/>
        </w:rPr>
      </w:pPr>
      <w:r>
        <w:t>Выбор методов измерений КДП, кроме того, определяется и частотным диапазоном, а также механическими свойствами материала, влияющими на возможности его обработки и достижение необходимой точности измерений. Так, на частотах от 100 Гц до 1 МГц применяют конденсаторный метод, являющийся разновидностью резонансных методов. [6] Данный метод предполагает использование конденсатора, обкладки которого изготавливаются в виде цилиндрической или сферической формы, между которыми помещается исследуемый образец (диэлектрик).</w:t>
      </w:r>
    </w:p>
    <w:p w14:paraId="6776DF99" w14:textId="77777777" w:rsidR="00181BC9" w:rsidRDefault="00181BC9" w:rsidP="00181BC9">
      <w:r>
        <w:t>Изменение емкости конденсатора будет зависеть от свойств материала. Данный метод применяется для измерения диэлектрической проницаемости ε и тангенса угла диэлектрических потерь tgδ, а измеряемыми величинами в данном случае могут быть значение импеданса цепи, добротность колебательного контура, образованного измерительным конденсатором и эталонной катушкой индуктивности [8]. Конденсаторный метод более подробно описан в работе [9], в которой автор рассматривает несколько видов конструкции конденсаторов, в зависимости от частотного диапазона и конструкции измерительной установки.</w:t>
      </w:r>
    </w:p>
    <w:p w14:paraId="566CD031" w14:textId="77777777" w:rsidR="00181BC9" w:rsidRDefault="00181BC9" w:rsidP="00181BC9">
      <w:r>
        <w:t>Одной из рассмотренной конструкций (рис. 1) является простейший измерительный конденсатор, обкладки которого изготовлены в виде дисков, диаметры которых значительно превышали расстояние между ними. Радиус обкладок конденсатора R определяется с учетов значений длины волны λ и диэлектрической проницаемости ε:</w:t>
      </w:r>
    </w:p>
    <w:p w14:paraId="277BB8F3" w14:textId="77777777" w:rsidR="00181BC9" w:rsidRDefault="00181BC9" w:rsidP="00181BC9">
      <w:pPr>
        <w:pStyle w:val="af0"/>
      </w:pPr>
      <w:r>
        <w:tab/>
      </w:r>
      <w:r>
        <w:rPr>
          <w:lang w:val="en-US"/>
        </w:rPr>
        <w:t>R</w:t>
      </w:r>
      <w:r>
        <w:t xml:space="preserve"> ≤</w:t>
      </w:r>
      <m:oMath>
        <m:r>
          <m:rPr>
            <m:sty m:val="p"/>
          </m:rPr>
          <w:rPr>
            <w:rFonts w:ascii="Cambria Math" w:hAnsi="Cambria Math"/>
          </w:rPr>
          <m:t xml:space="preserve"> </m:t>
        </m:r>
        <m:f>
          <m:fPr>
            <m:ctrlPr>
              <w:rPr>
                <w:rFonts w:ascii="Cambria Math" w:hAnsi="Cambria Math"/>
                <w:lang w:eastAsia="en-US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</w:rPr>
              <m:t>0,24λ</m:t>
            </m:r>
          </m:num>
          <m:den>
            <m:r>
              <m:rPr>
                <m:sty m:val="p"/>
              </m:rPr>
              <w:rPr>
                <w:rFonts w:ascii="Cambria Math" w:hAnsi="Cambria Math"/>
              </w:rPr>
              <m:t>2π</m:t>
            </m:r>
            <m:rad>
              <m:radPr>
                <m:degHide m:val="1"/>
                <m:ctrlPr>
                  <w:rPr>
                    <w:rFonts w:ascii="Cambria Math" w:hAnsi="Cambria Math"/>
                    <w:lang w:eastAsia="en-US"/>
                  </w:rPr>
                </m:ctrlPr>
              </m:radPr>
              <m:deg/>
              <m:e>
                <m:r>
                  <m:rPr>
                    <m:sty m:val="p"/>
                  </m:rPr>
                  <w:rPr>
                    <w:rFonts w:ascii="Cambria Math" w:hAnsi="Cambria Math"/>
                  </w:rPr>
                  <m:t>ε</m:t>
                </m:r>
              </m:e>
            </m:rad>
          </m:den>
        </m:f>
      </m:oMath>
      <w:r>
        <w:t xml:space="preserve"> </w:t>
      </w:r>
      <w:r>
        <w:tab/>
        <w:t xml:space="preserve"> (2)</w:t>
      </w:r>
    </w:p>
    <w:p w14:paraId="6969AF52" w14:textId="1D025EB2" w:rsidR="00181BC9" w:rsidRPr="001542E6" w:rsidRDefault="00181BC9" w:rsidP="001542E6">
      <w:pPr>
        <w:ind w:firstLine="0"/>
        <w:rPr>
          <w:rFonts w:eastAsiaTheme="minorHAnsi"/>
        </w:rPr>
      </w:pPr>
      <w:r>
        <w:t>Также необходимо учитывать паразитную емкость, которая складывается</w:t>
      </w:r>
      <w:r w:rsidR="001542E6">
        <w:rPr>
          <w:rFonts w:eastAsiaTheme="minorHAnsi"/>
        </w:rPr>
        <w:t xml:space="preserve"> </w:t>
      </w:r>
      <w:r>
        <w:t>из краевой емкости и емкости зазоров между диэлектриком и обкладкой конденсатора [2].</w:t>
      </w:r>
    </w:p>
    <w:p w14:paraId="1677CC49" w14:textId="77777777" w:rsidR="00181BC9" w:rsidRDefault="00181BC9" w:rsidP="00181BC9">
      <w:r>
        <w:t>Вторым видом конструкции в рассмотренной работе является плоский конденсатор, между обкладками которого в центральной части пространства размещается исследуемый образец. Данный вид позволяет уменьшить влияние паразитных емкостей.</w:t>
      </w:r>
    </w:p>
    <w:p w14:paraId="0CE4CACA" w14:textId="77777777" w:rsidR="00181BC9" w:rsidRDefault="00181BC9" w:rsidP="00181BC9">
      <w:r>
        <w:t xml:space="preserve">Третья конструкция представляет собой конденсатор, обкладки которого изготовлены в виде сферической или цилиндрической формы, в пространстве между которыми размещается исследуемый образец [8]. Наибольшее распространение получили конденсаторы цилиндрической формы, в виду своей простоты изготовления. Обычно они состоят из трех коаксиальных цилиндров. Наружный и внутренний цилиндры соединены </w:t>
      </w:r>
      <w:r>
        <w:lastRenderedPageBreak/>
        <w:t>между собой и при подключении к измерительному прибору заземляются. Средний цилиндр для уменьшения краевых эффектов делается на 4-6 мм короче наружного и внутреннего цилиндров [7].</w:t>
      </w:r>
    </w:p>
    <w:p w14:paraId="404458B0" w14:textId="77777777" w:rsidR="00181BC9" w:rsidRDefault="00181BC9" w:rsidP="00181BC9">
      <w:pPr>
        <w:pStyle w:val="af2"/>
      </w:pPr>
      <w:r>
        <w:rPr>
          <w:lang w:val="ru-RU"/>
        </w:rPr>
        <w:drawing>
          <wp:inline distT="0" distB="0" distL="0" distR="0" wp14:anchorId="49E3BD9B" wp14:editId="40EDC6E3">
            <wp:extent cx="2606040" cy="2255520"/>
            <wp:effectExtent l="0" t="0" r="3810" b="0"/>
            <wp:docPr id="1652" name="Рисунок 16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06040" cy="22555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90B1F59" w14:textId="59B42E04" w:rsidR="00181BC9" w:rsidRPr="00181BC9" w:rsidRDefault="00181BC9" w:rsidP="00181BC9">
      <w:pPr>
        <w:pStyle w:val="af2"/>
        <w:rPr>
          <w:lang w:val="ru-RU"/>
        </w:rPr>
      </w:pPr>
      <w:r w:rsidRPr="00181BC9">
        <w:rPr>
          <w:lang w:val="ru-RU"/>
        </w:rPr>
        <w:t>Рисунок 1</w:t>
      </w:r>
      <w:r w:rsidR="00EB4B28">
        <w:rPr>
          <w:lang w:val="ru-RU"/>
        </w:rPr>
        <w:t>–</w:t>
      </w:r>
      <w:r w:rsidRPr="00181BC9">
        <w:rPr>
          <w:lang w:val="ru-RU"/>
        </w:rPr>
        <w:t xml:space="preserve"> Измерительные конденсаторы цилиндрического (а) и сферического (б) типов, где </w:t>
      </w:r>
      <w:r>
        <w:t>a</w:t>
      </w:r>
      <w:r w:rsidRPr="00181BC9">
        <w:rPr>
          <w:lang w:val="ru-RU"/>
        </w:rPr>
        <w:t xml:space="preserve"> и </w:t>
      </w:r>
      <w:r>
        <w:t>b</w:t>
      </w:r>
      <w:r w:rsidRPr="00181BC9">
        <w:rPr>
          <w:lang w:val="ru-RU"/>
        </w:rPr>
        <w:t>- радиусы внутренней и внешней обкладок</w:t>
      </w:r>
    </w:p>
    <w:p w14:paraId="5ABE50C7" w14:textId="77777777" w:rsidR="00181BC9" w:rsidRDefault="00181BC9" w:rsidP="00181BC9">
      <w:r>
        <w:t>Измерения диэлектрической проницаемости производится путем измерения изменений емкостей конденсаторов при его заполнении исследуемым образцом. При изготовлении таких конденсаторов необходимо использовать материалы, не взаимодействующие с образцом (посеребренная латунь, золото, платина, титан).</w:t>
      </w:r>
    </w:p>
    <w:p w14:paraId="522DCC04" w14:textId="77777777" w:rsidR="00181BC9" w:rsidRDefault="00181BC9" w:rsidP="00181BC9">
      <w:r>
        <w:t>Паразитные емкости возникают из-за наличия воздушных зазоров между обкладками конденсатора и образцом. Влияние паразитных емкостей необходимо учитывать при вычислении импеданса конденсатора. Наличие воздушного зазора может привести к неправильным результатам при измерении диэлектрической проницаемости и тангенса угла потерь из-за изменения измеряемого значения емкости. В работе [9], автором был предложен способ устранения паразитной емкости с помощью нанесения на поверхность образца электродов, которые зависят от свойств исследуемого вещества и размеров образца.</w:t>
      </w:r>
    </w:p>
    <w:p w14:paraId="41F89A9B" w14:textId="77777777" w:rsidR="00181BC9" w:rsidRDefault="00181BC9" w:rsidP="00181BC9">
      <w:r>
        <w:t>При изучении проводящих сред, когда имеется прямой контакт образца с измерительными электродами, на частотах ниже 10</w:t>
      </w:r>
      <w:r w:rsidRPr="001537EE">
        <w:t>4</w:t>
      </w:r>
      <w:r>
        <w:t>–10</w:t>
      </w:r>
      <w:r w:rsidRPr="001537EE">
        <w:t>5</w:t>
      </w:r>
      <w:r>
        <w:t xml:space="preserve"> Гц необходимо учитывать электродную поляризацию. В работах некоторых авторов было показано ее влияние на измеряемое значение действительной части КДП образцов [10], а также способы устранения и ослабления электродной поляризации. Так в работе [4] кратко приведены исследования авторов по устранению электродной поляризации.</w:t>
      </w:r>
    </w:p>
    <w:p w14:paraId="79500E63" w14:textId="77777777" w:rsidR="00181BC9" w:rsidRDefault="00181BC9" w:rsidP="00181BC9">
      <w:pPr>
        <w:pStyle w:val="af3"/>
      </w:pPr>
      <w:bookmarkStart w:id="10" w:name="_Toc87625648"/>
      <w:r>
        <w:t>Методы линии передачи</w:t>
      </w:r>
      <w:bookmarkEnd w:id="10"/>
      <w:r>
        <w:t xml:space="preserve"> </w:t>
      </w:r>
    </w:p>
    <w:p w14:paraId="0F44E341" w14:textId="3E2D6772" w:rsidR="00181BC9" w:rsidRDefault="00181BC9" w:rsidP="00181BC9">
      <w:r>
        <w:t>Измерение с использованием метода линий передачи заключается в помещение образца в участок волновода или коаксиальной линии и измерение параметров комплексного рассеяния двух портов с помощью векторного анализатора цепей [11]. Метод включает измерение отраженного S</w:t>
      </w:r>
      <w:r>
        <w:rPr>
          <w:vertAlign w:val="subscript"/>
        </w:rPr>
        <w:t>11</w:t>
      </w:r>
      <w:r>
        <w:t xml:space="preserve"> и переданного сигнала S</w:t>
      </w:r>
      <w:r>
        <w:rPr>
          <w:vertAlign w:val="subscript"/>
        </w:rPr>
        <w:t xml:space="preserve">21 </w:t>
      </w:r>
      <w:r>
        <w:t xml:space="preserve">(рис. 2). Соответствующие параметры рассеяния тесно связаны с комплексной диэлектрической проницаемостью материала уравнениями. Преобразование s-параметров в </w:t>
      </w:r>
      <w:r w:rsidR="00F55673">
        <w:t>комплексный диэлектрический</w:t>
      </w:r>
      <w:r>
        <w:t xml:space="preserve"> параметр вычисляется путем решения уравнений с помощью программы.</w:t>
      </w:r>
    </w:p>
    <w:p w14:paraId="60CEEEAE" w14:textId="77777777" w:rsidR="00181BC9" w:rsidRDefault="00181BC9" w:rsidP="00181BC9">
      <w:pPr>
        <w:pStyle w:val="af2"/>
      </w:pPr>
      <w:r>
        <w:rPr>
          <w:lang w:val="ru-RU"/>
        </w:rPr>
        <w:lastRenderedPageBreak/>
        <w:drawing>
          <wp:inline distT="0" distB="0" distL="0" distR="0" wp14:anchorId="7CF3DBA9" wp14:editId="323EE37F">
            <wp:extent cx="4168140" cy="2369820"/>
            <wp:effectExtent l="0" t="0" r="3810" b="0"/>
            <wp:docPr id="1651" name="Рисунок 16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9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68140" cy="23698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DA780A5" w14:textId="49E4C44A" w:rsidR="00181BC9" w:rsidRPr="00181BC9" w:rsidRDefault="00181BC9" w:rsidP="00181BC9">
      <w:pPr>
        <w:pStyle w:val="af2"/>
        <w:rPr>
          <w:lang w:val="ru-RU"/>
        </w:rPr>
      </w:pPr>
      <w:r w:rsidRPr="00181BC9">
        <w:rPr>
          <w:lang w:val="ru-RU"/>
        </w:rPr>
        <w:t xml:space="preserve">Рисунок 2 </w:t>
      </w:r>
      <w:r w:rsidR="00EB4B28">
        <w:rPr>
          <w:lang w:val="ru-RU"/>
        </w:rPr>
        <w:t>–</w:t>
      </w:r>
      <w:r w:rsidRPr="00181BC9">
        <w:rPr>
          <w:lang w:val="ru-RU"/>
        </w:rPr>
        <w:t xml:space="preserve"> Метод линии передачи/ отражения: волновод и коаксиальная линия</w:t>
      </w:r>
    </w:p>
    <w:p w14:paraId="1DFF2850" w14:textId="24EA4648" w:rsidR="00181BC9" w:rsidRDefault="00181BC9" w:rsidP="00181BC9">
      <w:r>
        <w:t xml:space="preserve">Во многих случаях метод требует подготовки образца, </w:t>
      </w:r>
      <w:r w:rsidR="001542E6">
        <w:t>например, механической</w:t>
      </w:r>
      <w:r>
        <w:t xml:space="preserve"> обработки, чтобы образец плотно прилегал к волноводу или коаксиальной линии, которые могут быть изготовлены в прямоугольной или круглой форме [11].</w:t>
      </w:r>
    </w:p>
    <w:p w14:paraId="60BA4DF7" w14:textId="77777777" w:rsidR="00181BC9" w:rsidRDefault="00181BC9" w:rsidP="00181BC9">
      <w:pPr>
        <w:pStyle w:val="af3"/>
      </w:pPr>
      <w:bookmarkStart w:id="11" w:name="_Toc87625649"/>
      <w:r>
        <w:t>Волноводный метод</w:t>
      </w:r>
      <w:bookmarkEnd w:id="11"/>
      <w:r>
        <w:t xml:space="preserve"> </w:t>
      </w:r>
    </w:p>
    <w:p w14:paraId="664DF2D1" w14:textId="77777777" w:rsidR="00181BC9" w:rsidRDefault="00181BC9" w:rsidP="00181BC9">
      <w:r>
        <w:t xml:space="preserve">В работе [12] была предложена методика измерения КДП минералов, основанная на измерении зависимостей отражательной и пропускательной способностей образцов от частоты. По этим зависимостям находились действительная и мнимая части комплексной диэлектрической проницаемости материала. В данной работе измерить пропускательную способность образцов авторами не удалось, так как в исследованиях использовали достаточно толстые образцы, которые поглощали ЭМ излучение. </w:t>
      </w:r>
    </w:p>
    <w:p w14:paraId="57691FF4" w14:textId="77777777" w:rsidR="00181BC9" w:rsidRDefault="00181BC9" w:rsidP="00181BC9">
      <w:r>
        <w:t xml:space="preserve">Исследования показали, что </w:t>
      </w:r>
      <w:bookmarkStart w:id="12" w:name="_Hlk85192418"/>
      <w:r>
        <w:t xml:space="preserve">отражательная способность </w:t>
      </w:r>
      <w:bookmarkEnd w:id="12"/>
      <w:r>
        <w:t>образцов сильно зависит от частоты: при увеличении содержания рудных минералов в горной породе отражательная способность, в зависимости от частоты излучения, возрастала от 0,2 для пустой породы до 0,9 для практически чистых рудных пород. На рис. 3 приведен график зависимости отражательной способности от частоты. Более подробно результаты исследования описаны в [12].</w:t>
      </w:r>
    </w:p>
    <w:p w14:paraId="76FBC049" w14:textId="77777777" w:rsidR="00181BC9" w:rsidRDefault="00181BC9" w:rsidP="001542E6">
      <w:pPr>
        <w:pStyle w:val="af2"/>
      </w:pPr>
      <w:r>
        <w:rPr>
          <w:lang w:val="ru-RU"/>
        </w:rPr>
        <w:drawing>
          <wp:inline distT="0" distB="0" distL="0" distR="0" wp14:anchorId="31AA57C7" wp14:editId="0C10D7AA">
            <wp:extent cx="2926080" cy="2998105"/>
            <wp:effectExtent l="0" t="0" r="7620" b="0"/>
            <wp:docPr id="1650" name="Рисунок 16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8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33556" cy="30057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30C98E5" w14:textId="273C8E54" w:rsidR="00181BC9" w:rsidRPr="00EF0EFC" w:rsidRDefault="00181BC9" w:rsidP="001542E6">
      <w:pPr>
        <w:pStyle w:val="af2"/>
        <w:rPr>
          <w:lang w:val="ru-RU"/>
        </w:rPr>
      </w:pPr>
      <w:r w:rsidRPr="00EF0EFC">
        <w:rPr>
          <w:lang w:val="ru-RU"/>
        </w:rPr>
        <w:t>Рисунок 3</w:t>
      </w:r>
      <w:r w:rsidR="00EB4B28">
        <w:rPr>
          <w:lang w:val="ru-RU"/>
        </w:rPr>
        <w:t>–</w:t>
      </w:r>
      <w:r w:rsidRPr="00EF0EFC">
        <w:rPr>
          <w:lang w:val="ru-RU"/>
        </w:rPr>
        <w:t xml:space="preserve"> Частотные зависимости отражательной способности образцов медной руды</w:t>
      </w:r>
    </w:p>
    <w:p w14:paraId="05526415" w14:textId="77777777" w:rsidR="00181BC9" w:rsidRDefault="00181BC9" w:rsidP="00181BC9">
      <w:r>
        <w:lastRenderedPageBreak/>
        <w:t xml:space="preserve">Неполное совпадение расчетов с экспериментальными результатами связано с тем, что исследуемые образцы медной руды представляют собой </w:t>
      </w:r>
      <w:proofErr w:type="gramStart"/>
      <w:r>
        <w:t>сложную</w:t>
      </w:r>
      <w:proofErr w:type="gramEnd"/>
      <w:r>
        <w:t>. Дисперсную среду, в которой имеются границы раздела между минералами, и на этих границах происходит переотражение излучения, которые в модельных расчетах не учитывались [6,12].</w:t>
      </w:r>
    </w:p>
    <w:p w14:paraId="44D639C4" w14:textId="77777777" w:rsidR="00181BC9" w:rsidRDefault="00181BC9" w:rsidP="00181BC9">
      <w:r>
        <w:t>В работе [13] представлены результаты численного эксперимента при определении КДП волноводным методом. Расчеты проводились в сантиметровом и миллиметровом диапазонах для диэлектриков с действительной частью диэлектрической проницаемости ε</w:t>
      </w:r>
      <w:r>
        <w:rPr>
          <w:vertAlign w:val="subscript"/>
        </w:rPr>
        <w:t>1</w:t>
      </w:r>
      <w:r>
        <w:t xml:space="preserve">, равной 10 и тангенсами угла диэлектрических потерь tgδ 0.1 – 0.2. Ширина воздушного зазора изменялась от 0 до 0.1 мм. КДП вычислялась с помощью выражения:  </w:t>
      </w:r>
    </w:p>
    <w:p w14:paraId="6973009F" w14:textId="77777777" w:rsidR="00181BC9" w:rsidRDefault="00181BC9" w:rsidP="00EB4B28">
      <w:pPr>
        <w:pStyle w:val="af0"/>
        <w:tabs>
          <w:tab w:val="clear" w:pos="8931"/>
          <w:tab w:val="left" w:pos="9214"/>
        </w:tabs>
      </w:pPr>
      <w:r>
        <w:tab/>
      </w:r>
      <m:oMath>
        <m:r>
          <m:rPr>
            <m:sty m:val="p"/>
          </m:rPr>
          <w:rPr>
            <w:rFonts w:ascii="Cambria Math" w:hAnsi="Cambria Math"/>
          </w:rPr>
          <m:t>ε=</m:t>
        </m:r>
        <m:f>
          <m:fPr>
            <m:ctrlPr>
              <w:rPr>
                <w:rFonts w:ascii="Cambria Math" w:hAnsi="Cambria Math"/>
                <w:lang w:eastAsia="en-US"/>
              </w:rPr>
            </m:ctrlPr>
          </m:fPr>
          <m:num>
            <m:sSubSup>
              <m:sSubSupPr>
                <m:ctrlPr>
                  <w:rPr>
                    <w:rFonts w:ascii="Cambria Math" w:hAnsi="Cambria Math"/>
                    <w:i/>
                    <w:lang w:eastAsia="en-US"/>
                  </w:rPr>
                </m:ctrlPr>
              </m:sSubSupPr>
              <m:e>
                <m:r>
                  <w:rPr>
                    <w:rFonts w:ascii="Cambria Math" w:hAnsi="Cambria Math"/>
                  </w:rPr>
                  <m:t>λ</m:t>
                </m:r>
              </m:e>
              <m:sub>
                <m:r>
                  <w:rPr>
                    <w:rFonts w:ascii="Cambria Math" w:hAnsi="Cambria Math"/>
                  </w:rPr>
                  <m:t>0</m:t>
                </m:r>
              </m:sub>
              <m:sup>
                <m:r>
                  <w:rPr>
                    <w:rFonts w:ascii="Cambria Math" w:hAnsi="Cambria Math"/>
                  </w:rPr>
                  <m:t>2</m:t>
                </m:r>
              </m:sup>
            </m:sSubSup>
            <m:r>
              <m:rPr>
                <m:sty m:val="p"/>
              </m:rPr>
              <w:rPr>
                <w:rFonts w:ascii="Cambria Math" w:hAnsi="Cambria Math"/>
              </w:rPr>
              <m:t xml:space="preserve"> </m:t>
            </m:r>
          </m:num>
          <m:den>
            <m:r>
              <m:rPr>
                <m:sty m:val="p"/>
              </m:rPr>
              <w:rPr>
                <w:rFonts w:ascii="Cambria Math" w:hAnsi="Cambria Math"/>
              </w:rPr>
              <m:t>µ</m:t>
            </m:r>
          </m:den>
        </m:f>
        <m:d>
          <m:dPr>
            <m:ctrlPr>
              <w:rPr>
                <w:rFonts w:ascii="Cambria Math" w:hAnsi="Cambria Math"/>
                <w:lang w:eastAsia="en-US"/>
              </w:rPr>
            </m:ctrlPr>
          </m:dPr>
          <m:e>
            <w:bookmarkStart w:id="13" w:name="_Hlk87624947"/>
            <m:f>
              <m:fPr>
                <m:ctrlPr>
                  <w:rPr>
                    <w:rFonts w:ascii="Cambria Math" w:hAnsi="Cambria Math"/>
                    <w:lang w:eastAsia="en-US"/>
                  </w:rPr>
                </m:ctrlPr>
              </m:fPr>
              <m:num>
                <m:r>
                  <m:rPr>
                    <m:sty m:val="p"/>
                  </m:rPr>
                  <w:rPr>
                    <w:rFonts w:ascii="Cambria Math" w:hAnsi="Cambria Math"/>
                  </w:rPr>
                  <m:t>1</m:t>
                </m:r>
              </m:num>
              <m:den>
                <m:sSup>
                  <m:sSupPr>
                    <m:ctrlPr>
                      <w:rPr>
                        <w:rFonts w:ascii="Cambria Math" w:hAnsi="Cambria Math"/>
                        <w:lang w:eastAsia="en-US"/>
                      </w:rPr>
                    </m:ctrlPr>
                  </m:sSupPr>
                  <m:e>
                    <m:r>
                      <m:rPr>
                        <m:sty m:val="p"/>
                      </m:rPr>
                      <w:rPr>
                        <w:rFonts w:ascii="Cambria Math" w:hAnsi="Cambria Math"/>
                      </w:rPr>
                      <m:t>Ʌ</m:t>
                    </m:r>
                  </m:e>
                  <m:sup>
                    <m:r>
                      <m:rPr>
                        <m:sty m:val="p"/>
                      </m:rPr>
                      <w:rPr>
                        <w:rFonts w:ascii="Cambria Math" w:hAnsi="Cambria Math"/>
                      </w:rPr>
                      <m:t>2</m:t>
                    </m:r>
                  </m:sup>
                </m:sSup>
              </m:den>
            </m:f>
            <w:bookmarkEnd w:id="13"/>
            <m:r>
              <m:rPr>
                <m:sty m:val="p"/>
              </m:rPr>
              <w:rPr>
                <w:rFonts w:ascii="Cambria Math" w:hAnsi="Cambria Math"/>
              </w:rPr>
              <m:t>+</m:t>
            </m:r>
            <m:f>
              <m:fPr>
                <m:ctrlPr>
                  <w:rPr>
                    <w:rFonts w:ascii="Cambria Math" w:hAnsi="Cambria Math"/>
                    <w:lang w:eastAsia="en-US"/>
                  </w:rPr>
                </m:ctrlPr>
              </m:fPr>
              <m:num>
                <m:r>
                  <m:rPr>
                    <m:sty m:val="p"/>
                  </m:rPr>
                  <w:rPr>
                    <w:rFonts w:ascii="Cambria Math" w:hAnsi="Cambria Math"/>
                  </w:rPr>
                  <m:t>1</m:t>
                </m:r>
              </m:num>
              <m:den>
                <m:sSubSup>
                  <m:sSubSupPr>
                    <m:ctrlPr>
                      <w:rPr>
                        <w:rFonts w:ascii="Cambria Math" w:hAnsi="Cambria Math"/>
                        <w:i/>
                        <w:lang w:eastAsia="en-US"/>
                      </w:rPr>
                    </m:ctrlPr>
                  </m:sSubSupPr>
                  <m:e>
                    <m:r>
                      <w:rPr>
                        <w:rFonts w:ascii="Cambria Math" w:hAnsi="Cambria Math"/>
                      </w:rPr>
                      <m:t>λ</m:t>
                    </m:r>
                  </m:e>
                  <m:sub>
                    <m:r>
                      <w:rPr>
                        <w:rFonts w:ascii="Cambria Math" w:hAnsi="Cambria Math"/>
                      </w:rPr>
                      <m:t>кр</m:t>
                    </m:r>
                  </m:sub>
                  <m:sup>
                    <m:r>
                      <w:rPr>
                        <w:rFonts w:ascii="Cambria Math" w:hAnsi="Cambria Math"/>
                      </w:rPr>
                      <m:t>2</m:t>
                    </m:r>
                  </m:sup>
                </m:sSubSup>
              </m:den>
            </m:f>
          </m:e>
        </m:d>
        <m:r>
          <w:rPr>
            <w:rFonts w:ascii="Cambria Math" w:hAnsi="Cambria Math"/>
          </w:rPr>
          <m:t>,</m:t>
        </m:r>
      </m:oMath>
      <w:r>
        <w:tab/>
        <w:t>(3)</w:t>
      </w:r>
    </w:p>
    <w:p w14:paraId="7BEBCD97" w14:textId="77777777" w:rsidR="00181BC9" w:rsidRDefault="00181BC9" w:rsidP="001542E6">
      <w:pPr>
        <w:ind w:firstLine="0"/>
        <w:rPr>
          <w:rFonts w:eastAsiaTheme="minorEastAsia"/>
        </w:rPr>
      </w:pPr>
      <w:r>
        <w:rPr>
          <w:rFonts w:eastAsiaTheme="minorEastAsia"/>
        </w:rPr>
        <w:t>где λ</w:t>
      </w:r>
      <w:r>
        <w:rPr>
          <w:rFonts w:eastAsiaTheme="minorEastAsia"/>
          <w:vertAlign w:val="subscript"/>
        </w:rPr>
        <w:t>0</w:t>
      </w:r>
      <w:r>
        <w:rPr>
          <w:rFonts w:eastAsiaTheme="minorEastAsia"/>
        </w:rPr>
        <w:t>- длина волны в вакууме, λ</w:t>
      </w:r>
      <w:r>
        <w:rPr>
          <w:rFonts w:eastAsiaTheme="minorEastAsia"/>
          <w:vertAlign w:val="subscript"/>
        </w:rPr>
        <w:t>кр</w:t>
      </w:r>
      <w:r>
        <w:rPr>
          <w:rFonts w:eastAsiaTheme="minorEastAsia"/>
        </w:rPr>
        <w:t xml:space="preserve">- критическая длина волны в волноводе, µ-магнитная проницаемость образца, Λ – комплексная величина, определяемая выражением (4) </w:t>
      </w:r>
    </w:p>
    <w:p w14:paraId="203B2766" w14:textId="77777777" w:rsidR="00181BC9" w:rsidRDefault="00181BC9" w:rsidP="00181BC9">
      <w:pPr>
        <w:pStyle w:val="af0"/>
        <w:rPr>
          <w:noProof/>
        </w:rPr>
      </w:pPr>
      <w:r>
        <w:rPr>
          <w:rFonts w:cs="Times New Roman"/>
          <w:lang w:eastAsia="en-US"/>
        </w:rPr>
        <w:tab/>
      </w:r>
      <m:oMath>
        <m:f>
          <m:fPr>
            <m:ctrlPr>
              <w:rPr>
                <w:rFonts w:ascii="Cambria Math" w:hAnsi="Cambria Math"/>
                <w:lang w:eastAsia="en-US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</w:rPr>
              <m:t>1</m:t>
            </m:r>
          </m:num>
          <m:den>
            <m:sSup>
              <m:sSupPr>
                <m:ctrlPr>
                  <w:rPr>
                    <w:rFonts w:ascii="Cambria Math" w:hAnsi="Cambria Math"/>
                    <w:lang w:eastAsia="en-US"/>
                  </w:rPr>
                </m:ctrlPr>
              </m:sSupPr>
              <m:e>
                <m:r>
                  <m:rPr>
                    <m:sty m:val="p"/>
                  </m:rPr>
                  <w:rPr>
                    <w:rFonts w:ascii="Cambria Math" w:hAnsi="Cambria Math"/>
                  </w:rPr>
                  <m:t>Ʌ</m:t>
                </m:r>
              </m:e>
              <m:sup>
                <m:r>
                  <m:rPr>
                    <m:sty m:val="p"/>
                  </m:rPr>
                  <w:rPr>
                    <w:rFonts w:ascii="Cambria Math" w:hAnsi="Cambria Math"/>
                  </w:rPr>
                  <m:t>2</m:t>
                </m:r>
              </m:sup>
            </m:sSup>
          </m:den>
        </m:f>
        <m:r>
          <w:rPr>
            <w:rFonts w:ascii="Cambria Math" w:hAnsi="Cambria Math"/>
          </w:rPr>
          <m:t xml:space="preserve"> </m:t>
        </m:r>
      </m:oMath>
      <w:r>
        <w:rPr>
          <w:noProof/>
        </w:rPr>
        <w:t xml:space="preserve">= - </w:t>
      </w:r>
      <m:oMath>
        <m:sSup>
          <m:sSupPr>
            <m:ctrlPr>
              <w:rPr>
                <w:rFonts w:ascii="Cambria Math" w:hAnsi="Cambria Math"/>
                <w:noProof/>
                <w:lang w:eastAsia="en-US"/>
              </w:rPr>
            </m:ctrlPr>
          </m:sSupPr>
          <m:e>
            <m:d>
              <m:dPr>
                <m:begChr m:val="["/>
                <m:endChr m:val="]"/>
                <m:ctrlPr>
                  <w:rPr>
                    <w:rFonts w:ascii="Cambria Math" w:hAnsi="Cambria Math"/>
                    <w:noProof/>
                    <w:lang w:eastAsia="en-US"/>
                  </w:rPr>
                </m:ctrlPr>
              </m:dPr>
              <m:e>
                <m:f>
                  <m:fPr>
                    <m:ctrlPr>
                      <w:rPr>
                        <w:rFonts w:ascii="Cambria Math" w:hAnsi="Cambria Math"/>
                        <w:noProof/>
                        <w:lang w:eastAsia="en-US"/>
                      </w:rPr>
                    </m:ctrlPr>
                  </m:fPr>
                  <m:num>
                    <m:r>
                      <m:rPr>
                        <m:sty m:val="p"/>
                      </m:rPr>
                      <w:rPr>
                        <w:rFonts w:ascii="Cambria Math" w:hAnsi="Cambria Math"/>
                        <w:noProof/>
                      </w:rPr>
                      <m:t>1</m:t>
                    </m:r>
                  </m:num>
                  <m:den>
                    <m:r>
                      <m:rPr>
                        <m:sty m:val="p"/>
                      </m:rPr>
                      <w:rPr>
                        <w:rFonts w:ascii="Cambria Math" w:hAnsi="Cambria Math"/>
                        <w:noProof/>
                      </w:rPr>
                      <m:t>2π</m:t>
                    </m:r>
                    <m:r>
                      <m:rPr>
                        <m:sty m:val="p"/>
                      </m:rPr>
                      <w:rPr>
                        <w:rFonts w:ascii="Cambria Math" w:hAnsi="Cambria Math"/>
                        <w:noProof/>
                        <w:lang w:val="en-US"/>
                      </w:rPr>
                      <m:t>l</m:t>
                    </m:r>
                  </m:den>
                </m:f>
                <m:func>
                  <m:funcPr>
                    <m:ctrlPr>
                      <w:rPr>
                        <w:rFonts w:ascii="Cambria Math" w:hAnsi="Cambria Math"/>
                        <w:noProof/>
                        <w:lang w:eastAsia="en-US"/>
                      </w:rPr>
                    </m:ctrlPr>
                  </m:funcPr>
                  <m:fName>
                    <m:r>
                      <m:rPr>
                        <m:sty m:val="p"/>
                      </m:rPr>
                      <w:rPr>
                        <w:rFonts w:ascii="Cambria Math" w:hAnsi="Cambria Math"/>
                        <w:noProof/>
                      </w:rPr>
                      <m:t>ln</m:t>
                    </m:r>
                  </m:fName>
                  <m:e>
                    <m:d>
                      <m:dPr>
                        <m:ctrlPr>
                          <w:rPr>
                            <w:rFonts w:ascii="Cambria Math" w:hAnsi="Cambria Math"/>
                            <w:noProof/>
                            <w:lang w:eastAsia="en-US"/>
                          </w:rPr>
                        </m:ctrlPr>
                      </m:dPr>
                      <m:e>
                        <m:f>
                          <m:fPr>
                            <m:ctrlPr>
                              <w:rPr>
                                <w:rFonts w:ascii="Cambria Math" w:hAnsi="Cambria Math"/>
                                <w:noProof/>
                                <w:lang w:eastAsia="en-US"/>
                              </w:rPr>
                            </m:ctrlPr>
                          </m:fPr>
                          <m:num>
                            <m:r>
                              <m:rPr>
                                <m:sty m:val="p"/>
                              </m:rPr>
                              <w:rPr>
                                <w:rFonts w:ascii="Cambria Math" w:hAnsi="Cambria Math"/>
                                <w:noProof/>
                              </w:rPr>
                              <m:t>1</m:t>
                            </m:r>
                          </m:num>
                          <m:den>
                            <m:r>
                              <m:rPr>
                                <m:sty m:val="p"/>
                              </m:rPr>
                              <w:rPr>
                                <w:rFonts w:ascii="Cambria Math" w:hAnsi="Cambria Math"/>
                                <w:noProof/>
                              </w:rPr>
                              <m:t>P</m:t>
                            </m:r>
                          </m:den>
                        </m:f>
                      </m:e>
                    </m:d>
                  </m:e>
                </m:func>
              </m:e>
            </m:d>
          </m:e>
          <m:sup>
            <m:r>
              <m:rPr>
                <m:sty m:val="p"/>
              </m:rPr>
              <w:rPr>
                <w:rFonts w:ascii="Cambria Math" w:hAnsi="Cambria Math"/>
                <w:noProof/>
              </w:rPr>
              <m:t>2</m:t>
            </m:r>
          </m:sup>
        </m:sSup>
      </m:oMath>
      <w:r>
        <w:rPr>
          <w:noProof/>
        </w:rPr>
        <w:t xml:space="preserve">,   </w:t>
      </w:r>
      <w:r>
        <w:rPr>
          <w:noProof/>
        </w:rPr>
        <w:tab/>
      </w:r>
      <w:r>
        <w:rPr>
          <w:noProof/>
        </w:rPr>
        <w:tab/>
        <w:t xml:space="preserve">(4) </w:t>
      </w:r>
    </w:p>
    <w:p w14:paraId="18632C2E" w14:textId="77777777" w:rsidR="00181BC9" w:rsidRDefault="00181BC9" w:rsidP="001542E6">
      <w:pPr>
        <w:ind w:firstLine="0"/>
        <w:rPr>
          <w:rFonts w:eastAsiaTheme="minorEastAsia"/>
        </w:rPr>
      </w:pPr>
      <w:r>
        <w:rPr>
          <w:rFonts w:eastAsiaTheme="minorEastAsia"/>
          <w:noProof/>
        </w:rPr>
        <w:t xml:space="preserve">где </w:t>
      </w:r>
      <w:r>
        <w:rPr>
          <w:rFonts w:eastAsiaTheme="minorEastAsia"/>
          <w:noProof/>
          <w:lang w:val="en-US"/>
        </w:rPr>
        <w:t>P</w:t>
      </w:r>
      <w:r>
        <w:rPr>
          <w:rFonts w:eastAsiaTheme="minorEastAsia"/>
          <w:noProof/>
        </w:rPr>
        <w:t xml:space="preserve">- </w:t>
      </w:r>
      <w:r>
        <w:t>коэффициент распространения ЭМ волны через материал образца в волноводе (рис. 4).</w:t>
      </w:r>
    </w:p>
    <w:p w14:paraId="2FA29610" w14:textId="77777777" w:rsidR="00181BC9" w:rsidRDefault="00181BC9" w:rsidP="00181BC9">
      <w:pPr>
        <w:rPr>
          <w:rFonts w:eastAsiaTheme="minorHAnsi"/>
          <w:iCs/>
        </w:rPr>
      </w:pPr>
    </w:p>
    <w:p w14:paraId="0B63A3E1" w14:textId="77777777" w:rsidR="00181BC9" w:rsidRDefault="00181BC9" w:rsidP="00181BC9">
      <w:pPr>
        <w:pStyle w:val="af2"/>
      </w:pPr>
      <w:r>
        <w:rPr>
          <w:lang w:val="ru-RU"/>
        </w:rPr>
        <w:drawing>
          <wp:inline distT="0" distB="0" distL="0" distR="0" wp14:anchorId="78645CE9" wp14:editId="3D4D4550">
            <wp:extent cx="3931920" cy="1562100"/>
            <wp:effectExtent l="0" t="0" r="0" b="0"/>
            <wp:docPr id="1649" name="Рисунок 16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2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31920" cy="1562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E23759A" w14:textId="2AF8952B" w:rsidR="00181BC9" w:rsidRPr="001542E6" w:rsidRDefault="00181BC9" w:rsidP="001542E6">
      <w:pPr>
        <w:pStyle w:val="af2"/>
        <w:rPr>
          <w:lang w:val="ru-RU"/>
        </w:rPr>
      </w:pPr>
      <w:r w:rsidRPr="00181BC9">
        <w:rPr>
          <w:lang w:val="ru-RU"/>
        </w:rPr>
        <w:t xml:space="preserve">Рисунок 4 </w:t>
      </w:r>
      <w:r w:rsidR="00EB4B28">
        <w:rPr>
          <w:lang w:val="ru-RU"/>
        </w:rPr>
        <w:t>–</w:t>
      </w:r>
      <w:r w:rsidRPr="00181BC9">
        <w:rPr>
          <w:lang w:val="ru-RU"/>
        </w:rPr>
        <w:t xml:space="preserve"> Волноводная секция с исследуемым образцом: </w:t>
      </w:r>
      <w:r>
        <w:t>a</w:t>
      </w:r>
      <w:r w:rsidRPr="00181BC9">
        <w:rPr>
          <w:lang w:val="ru-RU"/>
        </w:rPr>
        <w:t xml:space="preserve"> х </w:t>
      </w:r>
      <w:r>
        <w:t>b</w:t>
      </w:r>
      <w:r w:rsidRPr="00181BC9">
        <w:rPr>
          <w:lang w:val="ru-RU"/>
        </w:rPr>
        <w:t xml:space="preserve"> – поперечные размеры волновода, </w:t>
      </w:r>
      <w:r>
        <w:t>E</w:t>
      </w:r>
      <w:r w:rsidRPr="00181BC9">
        <w:rPr>
          <w:lang w:val="ru-RU"/>
        </w:rPr>
        <w:t xml:space="preserve"> – вектор напряженности электрического поля, </w:t>
      </w:r>
      <w:r>
        <w:t>l</w:t>
      </w:r>
      <w:r w:rsidRPr="00181BC9">
        <w:rPr>
          <w:lang w:val="ru-RU"/>
        </w:rPr>
        <w:t xml:space="preserve"> – длина образца. </w:t>
      </w:r>
      <w:r>
        <w:t>S</w:t>
      </w:r>
      <w:r w:rsidRPr="00181BC9">
        <w:rPr>
          <w:vertAlign w:val="subscript"/>
          <w:lang w:val="ru-RU"/>
        </w:rPr>
        <w:t>11</w:t>
      </w:r>
      <w:r w:rsidRPr="00181BC9">
        <w:rPr>
          <w:lang w:val="ru-RU"/>
        </w:rPr>
        <w:t xml:space="preserve"> и </w:t>
      </w:r>
      <w:r>
        <w:t>S</w:t>
      </w:r>
      <w:r w:rsidRPr="00181BC9">
        <w:rPr>
          <w:vertAlign w:val="subscript"/>
          <w:lang w:val="ru-RU"/>
        </w:rPr>
        <w:t>21</w:t>
      </w:r>
      <w:r w:rsidRPr="00181BC9">
        <w:rPr>
          <w:lang w:val="ru-RU"/>
        </w:rPr>
        <w:t xml:space="preserve"> коэффициенты отражения и прохождения на границах 1 и 2 образца, соответственно</w:t>
      </w:r>
    </w:p>
    <w:p w14:paraId="3163A21D" w14:textId="77777777" w:rsidR="00181BC9" w:rsidRDefault="00181BC9" w:rsidP="00181BC9">
      <w:r>
        <w:t>При наличии воздушного зазора данная работа сводилась к исследованию волновода с частичным заполнением. В результате были получены зависимости диэлектрических параметров от частоты в сантиметровом и миллиметровом диапазоне частот. В сантиметровом диапазоне частот при максимальной величине зазора в 0,1 мм погрешность при определении ε</w:t>
      </w:r>
      <w:r>
        <w:rPr>
          <w:vertAlign w:val="subscript"/>
        </w:rPr>
        <w:t>1</w:t>
      </w:r>
      <w:r>
        <w:t xml:space="preserve"> составила 4.5 %, а при определении tgδ – 5.5 %. На рис. 5 приведены графики зависимости ε</w:t>
      </w:r>
      <w:r>
        <w:rPr>
          <w:vertAlign w:val="subscript"/>
        </w:rPr>
        <w:t xml:space="preserve">1 </w:t>
      </w:r>
      <w:r>
        <w:t xml:space="preserve">и tgδ от частоты в сантиметровом диапазоне частот. </w:t>
      </w:r>
    </w:p>
    <w:p w14:paraId="564EEE1A" w14:textId="77777777" w:rsidR="00181BC9" w:rsidRDefault="00181BC9" w:rsidP="00181BC9">
      <w:pPr>
        <w:pStyle w:val="af2"/>
      </w:pPr>
      <w:r>
        <w:rPr>
          <w:lang w:val="ru-RU"/>
        </w:rPr>
        <w:drawing>
          <wp:inline distT="0" distB="0" distL="0" distR="0" wp14:anchorId="5868F2D7" wp14:editId="4D3907B5">
            <wp:extent cx="2926080" cy="2110740"/>
            <wp:effectExtent l="0" t="0" r="7620" b="3810"/>
            <wp:docPr id="1648" name="Рисунок 16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6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26080" cy="21107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lang w:val="ru-RU"/>
        </w:rPr>
        <w:drawing>
          <wp:inline distT="0" distB="0" distL="0" distR="0" wp14:anchorId="1FE99049" wp14:editId="5E50F8B7">
            <wp:extent cx="2590800" cy="2095500"/>
            <wp:effectExtent l="0" t="0" r="0" b="0"/>
            <wp:docPr id="1647" name="Рисунок 16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7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258" t="2219" r="788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90800" cy="2095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D1144CC" w14:textId="1DC5BDBE" w:rsidR="00181BC9" w:rsidRPr="00181BC9" w:rsidRDefault="00181BC9" w:rsidP="00181BC9">
      <w:pPr>
        <w:pStyle w:val="af2"/>
        <w:rPr>
          <w:lang w:val="ru-RU"/>
        </w:rPr>
      </w:pPr>
      <w:r w:rsidRPr="00181BC9">
        <w:rPr>
          <w:lang w:val="ru-RU"/>
        </w:rPr>
        <w:t xml:space="preserve">Рисунок 5 </w:t>
      </w:r>
      <w:r w:rsidR="00EB4B28">
        <w:rPr>
          <w:lang w:val="ru-RU"/>
        </w:rPr>
        <w:t>–</w:t>
      </w:r>
      <w:r w:rsidRPr="00181BC9">
        <w:rPr>
          <w:lang w:val="ru-RU"/>
        </w:rPr>
        <w:t xml:space="preserve"> Графики зависимостей </w:t>
      </w:r>
      <w:r>
        <w:t>tgδ</w:t>
      </w:r>
      <w:r w:rsidRPr="00181BC9">
        <w:rPr>
          <w:lang w:val="ru-RU"/>
        </w:rPr>
        <w:t xml:space="preserve"> и </w:t>
      </w:r>
      <w:r>
        <w:t>ε</w:t>
      </w:r>
      <w:r w:rsidRPr="00181BC9">
        <w:rPr>
          <w:vertAlign w:val="subscript"/>
          <w:lang w:val="ru-RU"/>
        </w:rPr>
        <w:t xml:space="preserve"> </w:t>
      </w:r>
      <w:r w:rsidRPr="00181BC9">
        <w:rPr>
          <w:lang w:val="ru-RU"/>
        </w:rPr>
        <w:t>от частоты</w:t>
      </w:r>
      <w:r w:rsidR="00EB4B28">
        <w:rPr>
          <w:lang w:val="ru-RU"/>
        </w:rPr>
        <w:br/>
      </w:r>
      <w:r w:rsidRPr="00181BC9">
        <w:rPr>
          <w:lang w:val="ru-RU"/>
        </w:rPr>
        <w:t>в сантиметровом диапазоне частот</w:t>
      </w:r>
    </w:p>
    <w:p w14:paraId="4614E78F" w14:textId="77777777" w:rsidR="00181BC9" w:rsidRDefault="00181BC9" w:rsidP="00181BC9">
      <w:r>
        <w:lastRenderedPageBreak/>
        <w:t>В миллиметровом диапазоне погрешность при измерении ε</w:t>
      </w:r>
      <w:r>
        <w:rPr>
          <w:vertAlign w:val="subscript"/>
        </w:rPr>
        <w:t>1</w:t>
      </w:r>
      <w:r>
        <w:t xml:space="preserve"> практически не меняется, а tgδ в верхней части диапазона становится больше. Также в данной работе авторы привели способы уменьшения погрешности, связанной с наличием воздушного зазора. На рис. 6 приведены графики зависимости ε</w:t>
      </w:r>
      <w:r>
        <w:rPr>
          <w:vertAlign w:val="subscript"/>
        </w:rPr>
        <w:t xml:space="preserve">1 </w:t>
      </w:r>
      <w:r>
        <w:t>и tgδ от частоты в миллиметровом диапазоне частот.</w:t>
      </w:r>
    </w:p>
    <w:p w14:paraId="2B042800" w14:textId="77777777" w:rsidR="00181BC9" w:rsidRDefault="00181BC9" w:rsidP="00181BC9">
      <w:pPr>
        <w:pStyle w:val="af2"/>
      </w:pPr>
      <w:r>
        <w:rPr>
          <w:lang w:val="ru-RU"/>
        </w:rPr>
        <w:drawing>
          <wp:inline distT="0" distB="0" distL="0" distR="0" wp14:anchorId="63626729" wp14:editId="511C7233">
            <wp:extent cx="2567940" cy="1949987"/>
            <wp:effectExtent l="0" t="0" r="3810" b="0"/>
            <wp:docPr id="1646" name="Рисунок 16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5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296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81023" cy="195992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lang w:val="ru-RU"/>
        </w:rPr>
        <w:drawing>
          <wp:inline distT="0" distB="0" distL="0" distR="0" wp14:anchorId="4B55F45B" wp14:editId="3B8C1B21">
            <wp:extent cx="2680948" cy="1935480"/>
            <wp:effectExtent l="0" t="0" r="5715" b="7620"/>
            <wp:docPr id="1645" name="Рисунок 16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683" r="2641" b="287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86411" cy="193942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97F53AD" w14:textId="77777777" w:rsidR="00181BC9" w:rsidRPr="00181BC9" w:rsidRDefault="00181BC9" w:rsidP="00181BC9">
      <w:pPr>
        <w:pStyle w:val="af2"/>
        <w:rPr>
          <w:lang w:val="ru-RU"/>
        </w:rPr>
      </w:pPr>
      <w:r w:rsidRPr="00181BC9">
        <w:rPr>
          <w:lang w:val="ru-RU"/>
        </w:rPr>
        <w:t xml:space="preserve">Рисунок 6- Графики зависимостей </w:t>
      </w:r>
      <w:r>
        <w:t>tgδ</w:t>
      </w:r>
      <w:r w:rsidRPr="00181BC9">
        <w:rPr>
          <w:lang w:val="ru-RU"/>
        </w:rPr>
        <w:t xml:space="preserve"> и </w:t>
      </w:r>
      <w:r>
        <w:t>ε</w:t>
      </w:r>
      <w:r w:rsidRPr="00181BC9">
        <w:rPr>
          <w:lang w:val="ru-RU"/>
        </w:rPr>
        <w:t xml:space="preserve"> от частоты в миллиметровом диапазоне частот</w:t>
      </w:r>
    </w:p>
    <w:p w14:paraId="04B9FF39" w14:textId="77777777" w:rsidR="00181BC9" w:rsidRDefault="00181BC9" w:rsidP="00181BC9">
      <w:r>
        <w:t>Показано, что даже незначительный воздушный зазор между образцом и широкой стенкой волновода приводит к резкому скачку напряженности электрического поля при переходе из материала образца в воздух и сильно влияет на точность определения КДП и, которая при определении tgδ достигает 11 %. Для уменьшения этой погрешности предлагается заполнять воздушный промежуток электропроводящей пастой. Проведенные расчеты показали, что при заполнении этого промежутка пастой на основе серебра с удельной проводимостью σ = 2·10</w:t>
      </w:r>
      <w:r w:rsidRPr="001537EE">
        <w:t>6</w:t>
      </w:r>
      <w:r>
        <w:t xml:space="preserve"> См/м максимальная погрешность, связанная с этим фактором, не превышает 0,5 % как для ε</w:t>
      </w:r>
      <w:r>
        <w:rPr>
          <w:vertAlign w:val="subscript"/>
        </w:rPr>
        <w:t>1</w:t>
      </w:r>
      <w:r>
        <w:t xml:space="preserve">, так и для tgδ. </w:t>
      </w:r>
    </w:p>
    <w:p w14:paraId="6E80EC58" w14:textId="77777777" w:rsidR="00181BC9" w:rsidRDefault="00181BC9" w:rsidP="00181BC9">
      <w:r>
        <w:t>Из-за неприемлемо больших размеров прямоугольные волноводы неудобно использовать на частотах ниже 1 ГГц. Однако, волноводы незаменимы на частотах выше 10-15 ГГц, где коаксиальные линии имеют малые размеры поперечного сечения и обладают более высокими потерями [10].</w:t>
      </w:r>
    </w:p>
    <w:p w14:paraId="62F7E67A" w14:textId="77777777" w:rsidR="00181BC9" w:rsidRDefault="00181BC9" w:rsidP="00181BC9">
      <w:pPr>
        <w:pStyle w:val="af3"/>
      </w:pPr>
      <w:bookmarkStart w:id="14" w:name="_Toc87625650"/>
      <w:r>
        <w:t>Коаксиальные методы</w:t>
      </w:r>
      <w:bookmarkEnd w:id="14"/>
      <w:r>
        <w:t xml:space="preserve"> </w:t>
      </w:r>
    </w:p>
    <w:p w14:paraId="5B51AF8F" w14:textId="77777777" w:rsidR="00181BC9" w:rsidRDefault="00181BC9" w:rsidP="00181BC9">
      <w:r>
        <w:t>Значительное количество исследований диэлектрических свойств на частотах 50МГц–18 ГГц осуществляется с применением коаксиальных методов измерения, основную часть которых составляет коаксиальная ячейка – отрезок коаксиальной линии, заполненный исследуемым веществом и подключенный с помощью согласующих переходных устройств к векторному анализатору цепей или другому измерительному прибору. Преимущества этого метода основаны на небольшом количестве исследуемого образца, необходимом для измерений, а также возможности измерить электрофизические параметры материала в широком диапазоне частот от 0 Гц до СВЧ. Для удержания образца в заданном объеме используются центрирующие шайбы, изготовленные из химически инертного материала с низким значением диэлектрической проницаемости. Коаксиальные линии используются при частотах, когда распространяются поперечные электромагнитные волны [7].</w:t>
      </w:r>
    </w:p>
    <w:p w14:paraId="67C8E799" w14:textId="1B05AFB7" w:rsidR="00181BC9" w:rsidRDefault="00181BC9" w:rsidP="00181BC9">
      <w:r>
        <w:t>В работе [14</w:t>
      </w:r>
      <w:r w:rsidR="001542E6">
        <w:t>] рассмотрены</w:t>
      </w:r>
      <w:r>
        <w:t xml:space="preserve"> требования, предъявляемые к конструкции коаксиальной измерительной ячейки. Во-первых, ячейка должна иметь не менее двух центрирующих шайб, для обеспечения удержания образца в заданном месте тракта. Во-вторых, одна из центрирующих шайб должна жестко фиксировать центральную жилу коаксиальной ячейки от продольного перемещения, поскольку необходимо обеспечить правильную геометрию соединительных разъемов. Проще всего этого добиться, используя шайбу, у которой меньший диаметр внутреннего проводника и больший диаметр оболочки, чем соответствующие диаметры участка волновода с воздушным заполнением. В-третьих, должна сохраняться возможность свободного извлечения второй шайбы. Это необходимо </w:t>
      </w:r>
      <w:r>
        <w:lastRenderedPageBreak/>
        <w:t xml:space="preserve">для того, чтобы обеспечить возможность загрузки исследуемого образца в коаксиальную ячейку. </w:t>
      </w:r>
    </w:p>
    <w:p w14:paraId="2169D2F1" w14:textId="77777777" w:rsidR="00181BC9" w:rsidRDefault="00181BC9" w:rsidP="00181BC9">
      <w:r>
        <w:t>В работе [14] представлены три варианта конструкции коаксиальных ячеек (рис.7), в которых скомбинированы различные варианты шайб, обеспечивающих одновременное выполнение всех требований к ячейке.</w:t>
      </w:r>
    </w:p>
    <w:p w14:paraId="73CE32C7" w14:textId="77777777" w:rsidR="00181BC9" w:rsidRDefault="00181BC9" w:rsidP="00181BC9">
      <w:pPr>
        <w:pStyle w:val="af2"/>
      </w:pPr>
      <w:r>
        <w:rPr>
          <w:lang w:val="ru-RU"/>
        </w:rPr>
        <w:drawing>
          <wp:inline distT="0" distB="0" distL="0" distR="0" wp14:anchorId="08F99330" wp14:editId="699055E0">
            <wp:extent cx="2392680" cy="1028700"/>
            <wp:effectExtent l="0" t="0" r="7620" b="0"/>
            <wp:docPr id="1643" name="Рисунок 16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6858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92680" cy="1028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87EE438" w14:textId="77777777" w:rsidR="00181BC9" w:rsidRDefault="00181BC9" w:rsidP="00181BC9">
      <w:pPr>
        <w:pStyle w:val="af2"/>
      </w:pPr>
      <w:r>
        <w:t>а)</w:t>
      </w:r>
    </w:p>
    <w:p w14:paraId="47060FC9" w14:textId="77777777" w:rsidR="00181BC9" w:rsidRDefault="00181BC9" w:rsidP="00181BC9">
      <w:pPr>
        <w:pStyle w:val="af2"/>
      </w:pPr>
      <w:r>
        <w:rPr>
          <w:lang w:val="ru-RU"/>
        </w:rPr>
        <w:drawing>
          <wp:inline distT="0" distB="0" distL="0" distR="0" wp14:anchorId="613B707A" wp14:editId="4056ED0F">
            <wp:extent cx="2377440" cy="990600"/>
            <wp:effectExtent l="0" t="0" r="3810" b="0"/>
            <wp:docPr id="1642" name="Рисунок 16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0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7383" b="3209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77440" cy="990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E986AE2" w14:textId="77777777" w:rsidR="00181BC9" w:rsidRDefault="00181BC9" w:rsidP="00181BC9">
      <w:pPr>
        <w:pStyle w:val="af2"/>
      </w:pPr>
      <w:r>
        <w:t>б)</w:t>
      </w:r>
    </w:p>
    <w:p w14:paraId="48494A46" w14:textId="77777777" w:rsidR="00181BC9" w:rsidRDefault="00181BC9" w:rsidP="00181BC9">
      <w:pPr>
        <w:pStyle w:val="af2"/>
      </w:pPr>
      <w:r>
        <w:rPr>
          <w:lang w:val="ru-RU"/>
        </w:rPr>
        <w:drawing>
          <wp:inline distT="0" distB="0" distL="0" distR="0" wp14:anchorId="61D13223" wp14:editId="317D52D1">
            <wp:extent cx="2567940" cy="914400"/>
            <wp:effectExtent l="0" t="0" r="3810" b="0"/>
            <wp:docPr id="1641" name="Рисунок 16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1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7382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67940" cy="914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EB34808" w14:textId="77777777" w:rsidR="00181BC9" w:rsidRPr="00181BC9" w:rsidRDefault="00181BC9" w:rsidP="00181BC9">
      <w:pPr>
        <w:pStyle w:val="af2"/>
        <w:rPr>
          <w:lang w:val="ru-RU"/>
        </w:rPr>
      </w:pPr>
      <w:r w:rsidRPr="00181BC9">
        <w:rPr>
          <w:lang w:val="ru-RU"/>
        </w:rPr>
        <w:t>в)</w:t>
      </w:r>
    </w:p>
    <w:p w14:paraId="7EDF2442" w14:textId="77777777" w:rsidR="00181BC9" w:rsidRPr="00181BC9" w:rsidRDefault="00181BC9" w:rsidP="00181BC9">
      <w:pPr>
        <w:pStyle w:val="af2"/>
        <w:rPr>
          <w:lang w:val="ru-RU"/>
        </w:rPr>
      </w:pPr>
      <w:r w:rsidRPr="00181BC9">
        <w:rPr>
          <w:lang w:val="ru-RU"/>
        </w:rPr>
        <w:t>Рисунок 7 – Варианты конструкции коаксиальной ячейки</w:t>
      </w:r>
    </w:p>
    <w:p w14:paraId="517EF182" w14:textId="77777777" w:rsidR="00181BC9" w:rsidRDefault="00181BC9" w:rsidP="00181BC9">
      <w:r>
        <w:t>С учетом особенностей технической реализации вариант конструкции, представленный на рис. 7в, является более подходящим для измерения жидких материалов, хотя и обеспечивает несколько худшее согласование сравнительно с вариантом конструкции рис.7б. При этом для варианта конструкции рис. 7в проще добиться герметичности объема, занимаемого образцом. Если не планируется проведение измерений жидких материалов, то предпочтение стоит отдать варианту конструкции рис.7 б [12].</w:t>
      </w:r>
    </w:p>
    <w:p w14:paraId="0E03FA0C" w14:textId="77777777" w:rsidR="00181BC9" w:rsidRDefault="00181BC9" w:rsidP="00181BC9">
      <w:r>
        <w:t xml:space="preserve">В работе [13] приведены данные экспериментальных исследований электромагнитных параметров композиционных материалов на основе углеродных наноструктур. Образцы изготавливались в форме шайб и помещались в коаксиальную ячейку. С помощью векторного анализатора цепей </w:t>
      </w:r>
      <w:proofErr w:type="spellStart"/>
      <w:r>
        <w:t>Agilent</w:t>
      </w:r>
      <w:proofErr w:type="spellEnd"/>
      <w:r>
        <w:t xml:space="preserve"> </w:t>
      </w:r>
      <w:proofErr w:type="spellStart"/>
      <w:r>
        <w:t>Technologies</w:t>
      </w:r>
      <w:proofErr w:type="spellEnd"/>
      <w:r>
        <w:t xml:space="preserve"> E8363B измерялись коэффициенты матрицы рассеяния в диапазоне частот 0.01 – 2 ГГц, затем, используя метод </w:t>
      </w:r>
      <w:proofErr w:type="spellStart"/>
      <w:r>
        <w:t>Никольсона</w:t>
      </w:r>
      <w:proofErr w:type="spellEnd"/>
      <w:r>
        <w:t xml:space="preserve">-Росса, рассчитывалось значение комплексной диэлектрической проницаемости. </w:t>
      </w:r>
    </w:p>
    <w:p w14:paraId="499C4E77" w14:textId="77777777" w:rsidR="00181BC9" w:rsidRDefault="00181BC9" w:rsidP="00181BC9">
      <w:pPr>
        <w:pStyle w:val="af3"/>
      </w:pPr>
      <w:bookmarkStart w:id="15" w:name="_Toc87625651"/>
      <w:r>
        <w:t>Резонансный метод</w:t>
      </w:r>
      <w:bookmarkEnd w:id="15"/>
    </w:p>
    <w:p w14:paraId="0C7AF63D" w14:textId="77777777" w:rsidR="00181BC9" w:rsidRDefault="00181BC9" w:rsidP="00181BC9">
      <w:r>
        <w:t xml:space="preserve">Для определения параметров диэлектрика также применяют резонансный метод, являющийся более точным и чувствительным методом. Однако существуют ограничения на частоты и характеристики потерь материалов, которые могут быть измерены этим методом. Существует множество типов резонансных методов, таких как входящие полости, резонаторы с разделенным цилиндром, объемные резонаторы, резонаторы </w:t>
      </w:r>
      <w:proofErr w:type="gramStart"/>
      <w:r>
        <w:t>Фабри-Перо</w:t>
      </w:r>
      <w:proofErr w:type="gramEnd"/>
      <w:r>
        <w:t xml:space="preserve"> и т. д. (рис. 8) [9], однако наиболее часто используются два типа резонансных измерений. </w:t>
      </w:r>
    </w:p>
    <w:p w14:paraId="64452ED1" w14:textId="77777777" w:rsidR="00181BC9" w:rsidRDefault="00181BC9" w:rsidP="00181BC9"/>
    <w:p w14:paraId="4D21EBA8" w14:textId="77777777" w:rsidR="00181BC9" w:rsidRDefault="00181BC9" w:rsidP="00181BC9"/>
    <w:p w14:paraId="295A5CCE" w14:textId="77777777" w:rsidR="00181BC9" w:rsidRDefault="00181BC9" w:rsidP="00181BC9">
      <w:pPr>
        <w:pStyle w:val="af2"/>
      </w:pPr>
      <w:r>
        <w:rPr>
          <w:lang w:val="ru-RU"/>
        </w:rPr>
        <w:lastRenderedPageBreak/>
        <w:drawing>
          <wp:inline distT="0" distB="0" distL="0" distR="0" wp14:anchorId="2FDED732" wp14:editId="12F266A5">
            <wp:extent cx="3855720" cy="2156460"/>
            <wp:effectExtent l="0" t="0" r="0" b="0"/>
            <wp:docPr id="1640" name="Рисунок 16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7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8281" t="1817" r="1357" b="270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55720" cy="21564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AA71D56" w14:textId="77777777" w:rsidR="00181BC9" w:rsidRPr="00181BC9" w:rsidRDefault="00181BC9" w:rsidP="00181BC9">
      <w:pPr>
        <w:pStyle w:val="af2"/>
        <w:rPr>
          <w:lang w:val="ru-RU"/>
        </w:rPr>
      </w:pPr>
      <w:r w:rsidRPr="00181BC9">
        <w:rPr>
          <w:lang w:val="ru-RU"/>
        </w:rPr>
        <w:t xml:space="preserve">Рисунок 8 – Измерение в объёмном резонаторе </w:t>
      </w:r>
    </w:p>
    <w:p w14:paraId="481D1F31" w14:textId="77777777" w:rsidR="00181BC9" w:rsidRDefault="00181BC9" w:rsidP="00181BC9">
      <w:r>
        <w:t>Диэлектрическая проницаемость определяется по следующим формулам:</w:t>
      </w:r>
    </w:p>
    <w:p w14:paraId="2042886C" w14:textId="77777777" w:rsidR="00181BC9" w:rsidRDefault="00181BC9" w:rsidP="00181BC9">
      <w:pPr>
        <w:pStyle w:val="af0"/>
        <w:rPr>
          <w:lang w:val="en-US"/>
        </w:rPr>
      </w:pPr>
      <w:r>
        <w:tab/>
        <w:t>ε</w:t>
      </w:r>
      <w:r>
        <w:rPr>
          <w:vertAlign w:val="subscript"/>
          <w:lang w:val="en-US"/>
        </w:rPr>
        <w:t>r</w:t>
      </w:r>
      <w:r>
        <w:rPr>
          <w:lang w:val="en-US"/>
        </w:rPr>
        <w:t>'</w:t>
      </w:r>
      <m:oMath>
        <m:r>
          <m:rPr>
            <m:sty m:val="p"/>
          </m:rPr>
          <w:rPr>
            <w:rFonts w:ascii="Cambria Math" w:hAnsi="Cambria Math"/>
            <w:vertAlign w:val="subscript"/>
            <w:lang w:val="en-US"/>
          </w:rPr>
          <m:t>=</m:t>
        </m:r>
        <m:f>
          <m:fPr>
            <m:ctrlPr>
              <w:rPr>
                <w:rFonts w:ascii="Cambria Math" w:hAnsi="Cambria Math"/>
                <w:lang w:eastAsia="en-US"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  <w:lang w:eastAsia="en-US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hAnsi="Cambria Math"/>
                    <w:lang w:val="en-US"/>
                  </w:rPr>
                  <m:t>V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  <w:lang w:val="en-US"/>
                  </w:rPr>
                  <m:t>c</m:t>
                </m:r>
              </m:sub>
            </m:sSub>
            <m:d>
              <m:dPr>
                <m:ctrlPr>
                  <w:rPr>
                    <w:rFonts w:ascii="Cambria Math" w:hAnsi="Cambria Math"/>
                    <w:lang w:eastAsia="en-US"/>
                  </w:rPr>
                </m:ctrlPr>
              </m:dPr>
              <m:e>
                <m:sSub>
                  <m:sSubPr>
                    <m:ctrlPr>
                      <w:rPr>
                        <w:rFonts w:ascii="Cambria Math" w:hAnsi="Cambria Math"/>
                        <w:lang w:eastAsia="en-US"/>
                      </w:rPr>
                    </m:ctrlPr>
                  </m:sSubPr>
                  <m:e>
                    <m:r>
                      <m:rPr>
                        <m:sty m:val="p"/>
                      </m:rPr>
                      <w:rPr>
                        <w:rFonts w:ascii="Cambria Math" w:hAnsi="Cambria Math"/>
                        <w:lang w:val="en-US"/>
                      </w:rPr>
                      <m:t>f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hAnsi="Cambria Math"/>
                        <w:lang w:val="en-US"/>
                      </w:rPr>
                      <m:t>c</m:t>
                    </m:r>
                  </m:sub>
                </m:sSub>
                <m:r>
                  <m:rPr>
                    <m:sty m:val="p"/>
                  </m:rPr>
                  <w:rPr>
                    <w:rFonts w:ascii="Cambria Math" w:hAnsi="Cambria Math"/>
                    <w:lang w:val="en-US"/>
                  </w:rPr>
                  <m:t>-</m:t>
                </m:r>
                <m:sSub>
                  <m:sSubPr>
                    <m:ctrlPr>
                      <w:rPr>
                        <w:rFonts w:ascii="Cambria Math" w:hAnsi="Cambria Math"/>
                        <w:lang w:eastAsia="en-US"/>
                      </w:rPr>
                    </m:ctrlPr>
                  </m:sSubPr>
                  <m:e>
                    <m:r>
                      <m:rPr>
                        <m:sty m:val="p"/>
                      </m:rPr>
                      <w:rPr>
                        <w:rFonts w:ascii="Cambria Math" w:hAnsi="Cambria Math"/>
                        <w:lang w:val="en-US"/>
                      </w:rPr>
                      <m:t>f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hAnsi="Cambria Math"/>
                        <w:lang w:val="en-US"/>
                      </w:rPr>
                      <m:t>s</m:t>
                    </m:r>
                  </m:sub>
                </m:sSub>
              </m:e>
            </m:d>
          </m:num>
          <m:den>
            <m:r>
              <m:rPr>
                <m:sty m:val="p"/>
              </m:rPr>
              <w:rPr>
                <w:rFonts w:ascii="Cambria Math" w:hAnsi="Cambria Math"/>
                <w:lang w:val="en-US"/>
              </w:rPr>
              <m:t>2</m:t>
            </m:r>
            <m:sSub>
              <m:sSubPr>
                <m:ctrlPr>
                  <w:rPr>
                    <w:rFonts w:ascii="Cambria Math" w:hAnsi="Cambria Math"/>
                    <w:lang w:eastAsia="en-US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hAnsi="Cambria Math"/>
                    <w:lang w:val="en-US"/>
                  </w:rPr>
                  <m:t>V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  <w:lang w:val="en-US"/>
                  </w:rPr>
                  <m:t>s</m:t>
                </m:r>
              </m:sub>
            </m:sSub>
            <m:sSub>
              <m:sSubPr>
                <m:ctrlPr>
                  <w:rPr>
                    <w:rFonts w:ascii="Cambria Math" w:hAnsi="Cambria Math"/>
                    <w:lang w:eastAsia="en-US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hAnsi="Cambria Math"/>
                    <w:lang w:val="en-US"/>
                  </w:rPr>
                  <m:t>f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  <w:lang w:val="en-US"/>
                  </w:rPr>
                  <m:t>s</m:t>
                </m:r>
              </m:sub>
            </m:sSub>
          </m:den>
        </m:f>
      </m:oMath>
      <w:r>
        <w:rPr>
          <w:lang w:val="en-US"/>
        </w:rPr>
        <w:t>+1,</w:t>
      </w:r>
      <w:r>
        <w:rPr>
          <w:lang w:val="en-US"/>
        </w:rPr>
        <w:tab/>
        <w:t>(5)</w:t>
      </w:r>
    </w:p>
    <w:p w14:paraId="3378671C" w14:textId="77777777" w:rsidR="00181BC9" w:rsidRDefault="00181BC9" w:rsidP="00181BC9">
      <w:pPr>
        <w:pStyle w:val="af0"/>
        <w:rPr>
          <w:lang w:val="en-US"/>
        </w:rPr>
      </w:pPr>
      <w:r>
        <w:rPr>
          <w:lang w:val="en-US"/>
        </w:rPr>
        <w:tab/>
        <w:t>ε</w:t>
      </w:r>
      <w:r>
        <w:rPr>
          <w:vertAlign w:val="subscript"/>
          <w:lang w:val="en-US"/>
        </w:rPr>
        <w:t>r</w:t>
      </w:r>
      <w:r>
        <w:rPr>
          <w:lang w:val="en-US"/>
        </w:rPr>
        <w:t>'' =</w:t>
      </w:r>
      <m:oMath>
        <m:r>
          <m:rPr>
            <m:sty m:val="p"/>
          </m:rPr>
          <w:rPr>
            <w:rFonts w:ascii="Cambria Math" w:hAnsi="Cambria Math"/>
            <w:lang w:val="en-US"/>
          </w:rPr>
          <m:t xml:space="preserve"> </m:t>
        </m:r>
        <m:f>
          <m:fPr>
            <m:ctrlPr>
              <w:rPr>
                <w:rFonts w:ascii="Cambria Math" w:hAnsi="Cambria Math"/>
                <w:lang w:val="en-US" w:eastAsia="en-US"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  <w:lang w:val="en-US" w:eastAsia="en-US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hAnsi="Cambria Math"/>
                    <w:lang w:val="en-US"/>
                  </w:rPr>
                  <m:t>V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  <w:lang w:val="en-US"/>
                  </w:rPr>
                  <m:t>c</m:t>
                </m:r>
              </m:sub>
            </m:sSub>
          </m:num>
          <m:den>
            <m:r>
              <m:rPr>
                <m:sty m:val="p"/>
              </m:rPr>
              <w:rPr>
                <w:rFonts w:ascii="Cambria Math" w:hAnsi="Cambria Math"/>
                <w:lang w:val="en-US"/>
              </w:rPr>
              <m:t>4</m:t>
            </m:r>
            <m:sSub>
              <m:sSubPr>
                <m:ctrlPr>
                  <w:rPr>
                    <w:rFonts w:ascii="Cambria Math" w:hAnsi="Cambria Math"/>
                    <w:lang w:val="en-US" w:eastAsia="en-US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hAnsi="Cambria Math"/>
                    <w:lang w:val="en-US"/>
                  </w:rPr>
                  <m:t>V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  <w:lang w:val="en-US"/>
                  </w:rPr>
                  <m:t>s</m:t>
                </m:r>
              </m:sub>
            </m:sSub>
          </m:den>
        </m:f>
        <m:d>
          <m:dPr>
            <m:ctrlPr>
              <w:rPr>
                <w:rFonts w:ascii="Cambria Math" w:hAnsi="Cambria Math"/>
                <w:lang w:val="en-US" w:eastAsia="en-US"/>
              </w:rPr>
            </m:ctrlPr>
          </m:dPr>
          <m:e>
            <m:f>
              <m:fPr>
                <m:ctrlPr>
                  <w:rPr>
                    <w:rFonts w:ascii="Cambria Math" w:hAnsi="Cambria Math"/>
                    <w:lang w:val="en-US" w:eastAsia="en-US"/>
                  </w:rPr>
                </m:ctrlPr>
              </m:fPr>
              <m:num>
                <m:r>
                  <m:rPr>
                    <m:sty m:val="p"/>
                  </m:rPr>
                  <w:rPr>
                    <w:rFonts w:ascii="Cambria Math" w:hAnsi="Cambria Math"/>
                    <w:lang w:val="en-US"/>
                  </w:rPr>
                  <m:t>1</m:t>
                </m:r>
              </m:num>
              <m:den>
                <m:sSub>
                  <m:sSubPr>
                    <m:ctrlPr>
                      <w:rPr>
                        <w:rFonts w:ascii="Cambria Math" w:hAnsi="Cambria Math"/>
                        <w:lang w:val="en-US" w:eastAsia="en-US"/>
                      </w:rPr>
                    </m:ctrlPr>
                  </m:sSubPr>
                  <m:e>
                    <m:r>
                      <m:rPr>
                        <m:sty m:val="p"/>
                      </m:rPr>
                      <w:rPr>
                        <w:rFonts w:ascii="Cambria Math" w:hAnsi="Cambria Math"/>
                        <w:lang w:val="en-US"/>
                      </w:rPr>
                      <m:t>Q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hAnsi="Cambria Math"/>
                        <w:lang w:val="en-US"/>
                      </w:rPr>
                      <m:t>s</m:t>
                    </m:r>
                  </m:sub>
                </m:sSub>
              </m:den>
            </m:f>
            <m:r>
              <m:rPr>
                <m:sty m:val="p"/>
              </m:rPr>
              <w:rPr>
                <w:rFonts w:ascii="Cambria Math" w:hAnsi="Cambria Math"/>
                <w:lang w:val="en-US"/>
              </w:rPr>
              <m:t>-</m:t>
            </m:r>
            <m:f>
              <m:fPr>
                <m:ctrlPr>
                  <w:rPr>
                    <w:rFonts w:ascii="Cambria Math" w:hAnsi="Cambria Math"/>
                    <w:lang w:val="en-US" w:eastAsia="en-US"/>
                  </w:rPr>
                </m:ctrlPr>
              </m:fPr>
              <m:num>
                <m:r>
                  <m:rPr>
                    <m:sty m:val="p"/>
                  </m:rPr>
                  <w:rPr>
                    <w:rFonts w:ascii="Cambria Math" w:hAnsi="Cambria Math"/>
                    <w:lang w:val="en-US"/>
                  </w:rPr>
                  <m:t>1</m:t>
                </m:r>
              </m:num>
              <m:den>
                <m:sSub>
                  <m:sSubPr>
                    <m:ctrlPr>
                      <w:rPr>
                        <w:rFonts w:ascii="Cambria Math" w:hAnsi="Cambria Math"/>
                        <w:lang w:val="en-US" w:eastAsia="en-US"/>
                      </w:rPr>
                    </m:ctrlPr>
                  </m:sSubPr>
                  <m:e>
                    <m:r>
                      <m:rPr>
                        <m:sty m:val="p"/>
                      </m:rPr>
                      <w:rPr>
                        <w:rFonts w:ascii="Cambria Math" w:hAnsi="Cambria Math"/>
                        <w:lang w:val="en-US"/>
                      </w:rPr>
                      <m:t>Q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hAnsi="Cambria Math"/>
                        <w:lang w:val="en-US"/>
                      </w:rPr>
                      <m:t>c</m:t>
                    </m:r>
                  </m:sub>
                </m:sSub>
              </m:den>
            </m:f>
          </m:e>
        </m:d>
      </m:oMath>
      <w:r>
        <w:rPr>
          <w:lang w:val="en-US"/>
        </w:rPr>
        <w:t>,</w:t>
      </w:r>
      <w:r>
        <w:rPr>
          <w:lang w:val="en-US"/>
        </w:rPr>
        <w:tab/>
      </w:r>
      <w:r>
        <w:rPr>
          <w:lang w:val="en-US"/>
        </w:rPr>
        <w:tab/>
        <w:t>(6)</w:t>
      </w:r>
    </w:p>
    <w:p w14:paraId="2D1868C7" w14:textId="77777777" w:rsidR="00181BC9" w:rsidRDefault="00181BC9" w:rsidP="001542E6">
      <w:pPr>
        <w:ind w:firstLine="0"/>
        <w:rPr>
          <w:rFonts w:eastAsiaTheme="minorEastAsia"/>
          <w:sz w:val="32"/>
          <w:szCs w:val="32"/>
        </w:rPr>
      </w:pPr>
      <w:r>
        <w:rPr>
          <w:rFonts w:eastAsiaTheme="minorEastAsia"/>
        </w:rPr>
        <w:t>где</w:t>
      </w:r>
      <w:r>
        <w:rPr>
          <w:rFonts w:eastAsiaTheme="minorEastAsia"/>
          <w:sz w:val="32"/>
          <w:szCs w:val="32"/>
        </w:rPr>
        <w:t xml:space="preserve"> </w:t>
      </w:r>
      <w:r>
        <w:rPr>
          <w:rFonts w:eastAsiaTheme="minorEastAsia"/>
          <w:lang w:val="en-US"/>
        </w:rPr>
        <w:t>V</w:t>
      </w:r>
      <w:r>
        <w:rPr>
          <w:rFonts w:eastAsiaTheme="minorEastAsia"/>
        </w:rPr>
        <w:t xml:space="preserve">-объем, </w:t>
      </w:r>
      <w:r>
        <w:rPr>
          <w:rFonts w:eastAsiaTheme="minorEastAsia"/>
          <w:lang w:val="en-US"/>
        </w:rPr>
        <w:t>Q</w:t>
      </w:r>
      <w:r>
        <w:rPr>
          <w:rFonts w:eastAsiaTheme="minorEastAsia"/>
        </w:rPr>
        <w:t>-добротность резонатора, индекс с-для пустого резонатора, индекс s- для резонатора с образцом.</w:t>
      </w:r>
    </w:p>
    <w:p w14:paraId="1C785856" w14:textId="77777777" w:rsidR="00181BC9" w:rsidRDefault="00181BC9" w:rsidP="00181BC9">
      <w:pPr>
        <w:rPr>
          <w:rFonts w:eastAsiaTheme="minorHAnsi"/>
        </w:rPr>
      </w:pPr>
      <w:r>
        <w:t xml:space="preserve">К первой группе относят методы, основанные на возбуждении резонанса непосредственно в измеряемом образце, а ко второй – на внесении образцом возмущения в поле опорного резонатора. В работе [5] автор рассматривает прямоугольный объемный резонатор, в котором исследуется жидкость в кювете, ε' и tgδ жидкости определяются по измеренным значениям резонансной длины волны и добротности резонатора при отсутствии и наличии исследуемой жидкости в кювете. Резонаторы без диэлектрика и частично заполненный диэлектриком изображены на рис.9. </w:t>
      </w:r>
    </w:p>
    <w:p w14:paraId="4FE19E01" w14:textId="77777777" w:rsidR="00181BC9" w:rsidRDefault="00181BC9" w:rsidP="00181BC9">
      <w:pPr>
        <w:pStyle w:val="af2"/>
      </w:pPr>
      <w:r>
        <w:rPr>
          <w:lang w:val="ru-RU"/>
        </w:rPr>
        <w:drawing>
          <wp:inline distT="0" distB="0" distL="0" distR="0" wp14:anchorId="7858745F" wp14:editId="747555B2">
            <wp:extent cx="2270760" cy="1912620"/>
            <wp:effectExtent l="0" t="0" r="0" b="0"/>
            <wp:docPr id="1636" name="Рисунок 16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4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70760" cy="19126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D776023" w14:textId="77777777" w:rsidR="00181BC9" w:rsidRDefault="00181BC9" w:rsidP="00181BC9">
      <w:pPr>
        <w:pStyle w:val="af2"/>
      </w:pPr>
    </w:p>
    <w:p w14:paraId="07AFD50B" w14:textId="77777777" w:rsidR="00181BC9" w:rsidRPr="00181BC9" w:rsidRDefault="00181BC9" w:rsidP="00181BC9">
      <w:pPr>
        <w:pStyle w:val="af2"/>
        <w:rPr>
          <w:lang w:val="ru-RU"/>
        </w:rPr>
      </w:pPr>
      <w:r w:rsidRPr="00181BC9">
        <w:rPr>
          <w:lang w:val="ru-RU"/>
        </w:rPr>
        <w:t>Рисунок 9 – Схемы полого резонатора без диэлектрика и частично заполненного диэлектриком</w:t>
      </w:r>
    </w:p>
    <w:p w14:paraId="7F8CAE8E" w14:textId="77777777" w:rsidR="00181BC9" w:rsidRDefault="00181BC9" w:rsidP="00181BC9">
      <w:r>
        <w:t>Диэлектрическая проницаемость определяется из выражения:</w:t>
      </w:r>
    </w:p>
    <w:p w14:paraId="53117A31" w14:textId="77777777" w:rsidR="00181BC9" w:rsidRDefault="00181BC9" w:rsidP="00181BC9">
      <w:pPr>
        <w:pStyle w:val="af0"/>
        <w:rPr>
          <w:sz w:val="36"/>
          <w:szCs w:val="36"/>
        </w:rPr>
      </w:pPr>
      <w:r>
        <w:tab/>
      </w:r>
      <m:oMath>
        <m:sSup>
          <m:sSupPr>
            <m:ctrlPr>
              <w:rPr>
                <w:rFonts w:ascii="Cambria Math" w:hAnsi="Cambria Math"/>
                <w:lang w:eastAsia="en-US"/>
              </w:rPr>
            </m:ctrlPr>
          </m:sSupPr>
          <m:e>
            <m:r>
              <m:rPr>
                <m:sty m:val="p"/>
              </m:rPr>
              <w:rPr>
                <w:rFonts w:ascii="Cambria Math" w:hAnsi="Cambria Math"/>
              </w:rPr>
              <m:t>ε</m:t>
            </m:r>
          </m:e>
          <m:sup>
            <m:r>
              <m:rPr>
                <m:sty m:val="p"/>
              </m:rPr>
              <w:rPr>
                <w:rFonts w:ascii="Cambria Math" w:hAnsi="Cambria Math"/>
              </w:rPr>
              <m:t>'</m:t>
            </m:r>
          </m:sup>
        </m:sSup>
        <m:r>
          <m:rPr>
            <m:sty m:val="p"/>
          </m:rPr>
          <w:rPr>
            <w:rFonts w:ascii="Cambria Math" w:hAnsi="Cambria Math"/>
          </w:rPr>
          <m:t>=</m:t>
        </m:r>
        <m:f>
          <m:fPr>
            <m:ctrlPr>
              <w:rPr>
                <w:rFonts w:ascii="Cambria Math" w:hAnsi="Cambria Math"/>
                <w:lang w:eastAsia="en-US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</w:rPr>
              <m:t>1+</m:t>
            </m:r>
            <m:sSup>
              <m:sSupPr>
                <m:ctrlPr>
                  <w:rPr>
                    <w:rFonts w:ascii="Cambria Math" w:hAnsi="Cambria Math"/>
                    <w:lang w:eastAsia="en-US"/>
                  </w:rPr>
                </m:ctrlPr>
              </m:sSupPr>
              <m:e>
                <m:d>
                  <m:dPr>
                    <m:ctrlPr>
                      <w:rPr>
                        <w:rFonts w:ascii="Cambria Math" w:hAnsi="Cambria Math"/>
                        <w:lang w:eastAsia="en-US"/>
                      </w:rPr>
                    </m:ctrlPr>
                  </m:dPr>
                  <m:e>
                    <w:bookmarkStart w:id="16" w:name="_Hlk87623374"/>
                    <m:sSub>
                      <m:sSubPr>
                        <m:ctrlPr>
                          <w:rPr>
                            <w:rFonts w:ascii="Cambria Math" w:hAnsi="Cambria Math"/>
                            <w:lang w:eastAsia="en-US"/>
                          </w:rPr>
                        </m:ctrlPr>
                      </m:sSubPr>
                      <m:e>
                        <m:r>
                          <m:rPr>
                            <m:sty m:val="p"/>
                          </m:rPr>
                          <w:rPr>
                            <w:rFonts w:ascii="Cambria Math" w:hAnsi="Cambria Math"/>
                          </w:rPr>
                          <m:t>λ</m:t>
                        </m:r>
                      </m:e>
                      <m:sub>
                        <m:r>
                          <m:rPr>
                            <m:sty m:val="p"/>
                          </m:rPr>
                          <w:rPr>
                            <w:rFonts w:ascii="Cambria Math" w:hAnsi="Cambria Math"/>
                          </w:rPr>
                          <m:t>c</m:t>
                        </m:r>
                      </m:sub>
                    </m:sSub>
                    <w:bookmarkEnd w:id="16"/>
                    <m:r>
                      <m:rPr>
                        <m:sty m:val="p"/>
                      </m:rPr>
                      <w:rPr>
                        <w:rFonts w:ascii="Cambria Math" w:hAnsi="Cambria Math"/>
                      </w:rPr>
                      <m:t>a/2πd</m:t>
                    </m:r>
                  </m:e>
                </m:d>
              </m:e>
              <m:sup>
                <m:r>
                  <m:rPr>
                    <m:sty m:val="p"/>
                  </m:rPr>
                  <w:rPr>
                    <w:rFonts w:ascii="Cambria Math" w:hAnsi="Cambria Math"/>
                  </w:rPr>
                  <m:t>2</m:t>
                </m:r>
              </m:sup>
            </m:sSup>
          </m:num>
          <m:den>
            <m:r>
              <m:rPr>
                <m:sty m:val="p"/>
              </m:rPr>
              <w:rPr>
                <w:rFonts w:ascii="Cambria Math" w:hAnsi="Cambria Math"/>
              </w:rPr>
              <m:t>1+</m:t>
            </m:r>
            <m:sSup>
              <m:sSupPr>
                <m:ctrlPr>
                  <w:rPr>
                    <w:rFonts w:ascii="Cambria Math" w:hAnsi="Cambria Math"/>
                    <w:lang w:eastAsia="en-US"/>
                  </w:rPr>
                </m:ctrlPr>
              </m:sSupPr>
              <m:e>
                <m:d>
                  <m:dPr>
                    <m:ctrlPr>
                      <w:rPr>
                        <w:rFonts w:ascii="Cambria Math" w:hAnsi="Cambria Math"/>
                        <w:lang w:eastAsia="en-US"/>
                      </w:rPr>
                    </m:ctrlPr>
                  </m:dPr>
                  <m:e>
                    <m:sSub>
                      <m:sSubPr>
                        <m:ctrlPr>
                          <w:rPr>
                            <w:rFonts w:ascii="Cambria Math" w:hAnsi="Cambria Math"/>
                            <w:lang w:eastAsia="en-US"/>
                          </w:rPr>
                        </m:ctrlPr>
                      </m:sSubPr>
                      <m:e>
                        <m:r>
                          <m:rPr>
                            <m:sty m:val="p"/>
                          </m:rPr>
                          <w:rPr>
                            <w:rFonts w:ascii="Cambria Math" w:hAnsi="Cambria Math"/>
                          </w:rPr>
                          <m:t>λ</m:t>
                        </m:r>
                      </m:e>
                      <m:sub>
                        <m:r>
                          <m:rPr>
                            <m:sty m:val="p"/>
                          </m:rPr>
                          <w:rPr>
                            <w:rFonts w:ascii="Cambria Math" w:hAnsi="Cambria Math"/>
                          </w:rPr>
                          <m:t>c</m:t>
                        </m:r>
                      </m:sub>
                    </m:sSub>
                    <m:r>
                      <m:rPr>
                        <m:sty m:val="p"/>
                      </m:rPr>
                      <w:rPr>
                        <w:rFonts w:ascii="Cambria Math" w:hAnsi="Cambria Math"/>
                      </w:rPr>
                      <m:t>/</m:t>
                    </m:r>
                    <m:sSub>
                      <m:sSubPr>
                        <m:ctrlPr>
                          <w:rPr>
                            <w:rFonts w:ascii="Cambria Math" w:hAnsi="Cambria Math"/>
                            <w:lang w:eastAsia="en-US"/>
                          </w:rPr>
                        </m:ctrlPr>
                      </m:sSubPr>
                      <m:e>
                        <m:r>
                          <m:rPr>
                            <m:sty m:val="p"/>
                          </m:rPr>
                          <w:rPr>
                            <w:rFonts w:ascii="Cambria Math" w:hAnsi="Cambria Math"/>
                          </w:rPr>
                          <m:t>λ</m:t>
                        </m:r>
                      </m:e>
                      <m:sub>
                        <m:r>
                          <m:rPr>
                            <m:sty m:val="p"/>
                          </m:rPr>
                          <w:rPr>
                            <w:rFonts w:ascii="Cambria Math" w:hAnsi="Cambria Math"/>
                            <w:lang w:val="en-US"/>
                          </w:rPr>
                          <m:t>p</m:t>
                        </m:r>
                      </m:sub>
                    </m:sSub>
                  </m:e>
                </m:d>
              </m:e>
              <m:sup>
                <m:r>
                  <m:rPr>
                    <m:sty m:val="p"/>
                  </m:rPr>
                  <w:rPr>
                    <w:rFonts w:ascii="Cambria Math" w:hAnsi="Cambria Math"/>
                  </w:rPr>
                  <m:t>2</m:t>
                </m:r>
              </m:sup>
            </m:sSup>
          </m:den>
        </m:f>
        <m:r>
          <w:rPr>
            <w:rFonts w:ascii="Cambria Math" w:hAnsi="Cambria Math"/>
          </w:rPr>
          <m:t xml:space="preserve">  </m:t>
        </m:r>
      </m:oMath>
      <w:r>
        <w:tab/>
        <w:t>(7)</w:t>
      </w:r>
    </w:p>
    <w:p w14:paraId="60898656" w14:textId="77777777" w:rsidR="00181BC9" w:rsidRDefault="00181BC9" w:rsidP="00181BC9">
      <w:pPr>
        <w:ind w:firstLine="0"/>
      </w:pPr>
      <w:r>
        <w:t xml:space="preserve">где </w:t>
      </w:r>
      <w:proofErr w:type="spellStart"/>
      <w:r>
        <w:t>λ</w:t>
      </w:r>
      <w:r>
        <w:rPr>
          <w:vertAlign w:val="subscript"/>
        </w:rPr>
        <w:t>ρ</w:t>
      </w:r>
      <w:proofErr w:type="spellEnd"/>
      <w:r>
        <w:t xml:space="preserve"> – резонансная длина волны резонатора; </w:t>
      </w:r>
      <w:proofErr w:type="spellStart"/>
      <w:r>
        <w:t>λ</w:t>
      </w:r>
      <w:r>
        <w:rPr>
          <w:vertAlign w:val="subscript"/>
        </w:rPr>
        <w:t>с</w:t>
      </w:r>
      <w:proofErr w:type="spellEnd"/>
      <w:r>
        <w:t xml:space="preserve"> – критическая длина волны резонатора; </w:t>
      </w:r>
      <w:r w:rsidRPr="006E47D2">
        <w:t>d</w:t>
      </w:r>
      <w:r>
        <w:t xml:space="preserve"> – высота столба жидкости.</w:t>
      </w:r>
    </w:p>
    <w:p w14:paraId="16F37799" w14:textId="77777777" w:rsidR="00181BC9" w:rsidRDefault="00181BC9" w:rsidP="00181BC9">
      <w:r>
        <w:t xml:space="preserve">Также в данной работе автор рассматривает цилиндрический резонатор, в котором кювета с исследуемой жидкостью устанавливается на оси резонатора; в этом случае кювета должна иметь цилиндрическую форму, тонкие стенки и малый диаметр. Все расчетные </w:t>
      </w:r>
      <w:r>
        <w:lastRenderedPageBreak/>
        <w:t>формулы, методы измерения и анализ ошибок даны в работах [14,15]. Погрешность этого метода составляет порядка 1% для ε' и 3% для ε". Основными источниками погрешности являются неточности измерений, погрешности расчета, а для методов первой группы на погрешность влияет неточность определения размеров образцов. При использовании первой группы методов необходимо, чтобы образцы были простой формы (прямоугольник или цилиндр), а также имели заданные размеры. Вторая же группа методов не предъявляет особых требований к образцам.</w:t>
      </w:r>
    </w:p>
    <w:p w14:paraId="153FE0B5" w14:textId="77777777" w:rsidR="00181BC9" w:rsidRDefault="00181BC9" w:rsidP="00181BC9">
      <w:r>
        <w:t>Достоинством резонаторных методов являются простота измерений, малые габариты установки, приемлемые погрешности ε' порядка 1.5%, а ε" 3–5%, малое количество жидкости, необходимое для измерения. К недостаткам этих методов можно отнести механическую трудность изготовления резонаторов с большой добротностью, необходимость обеспечения большой стабильности генератора колебаний и невозможность измерения ε' и tgδ жидкостей с большими потерями [5].</w:t>
      </w:r>
    </w:p>
    <w:p w14:paraId="4E9C351A" w14:textId="77777777" w:rsidR="00181BC9" w:rsidRDefault="00181BC9" w:rsidP="00181BC9">
      <w:pPr>
        <w:pStyle w:val="af3"/>
      </w:pPr>
      <w:bookmarkStart w:id="17" w:name="_Toc87625652"/>
      <w:proofErr w:type="spellStart"/>
      <w:r>
        <w:t>Микрополосковые</w:t>
      </w:r>
      <w:proofErr w:type="spellEnd"/>
      <w:r>
        <w:t xml:space="preserve"> линии</w:t>
      </w:r>
      <w:bookmarkEnd w:id="17"/>
    </w:p>
    <w:p w14:paraId="59AE0CDF" w14:textId="77777777" w:rsidR="00181BC9" w:rsidRDefault="00181BC9" w:rsidP="00181BC9">
      <w:r>
        <w:t xml:space="preserve">Для определения диэлектрических свойств различных веществ помимо волноводов и коаксиальных ячеек применяются </w:t>
      </w:r>
      <w:proofErr w:type="spellStart"/>
      <w:r>
        <w:t>микрополосковые</w:t>
      </w:r>
      <w:proofErr w:type="spellEnd"/>
      <w:r>
        <w:t xml:space="preserve"> линии (МПЛ). В работе [16] авторы исследовали диэлектрические свойства жидких кристаллов в области частот 0,1 ГГц на стыке метрового и дециметрового диапазонов волн с помощью микрополосковых резонаторов, которые совмещают в себе сравнительно высокую добротность и миниатюрность. В данной работе авторы рассматривали некоторые конструкции чувствительных элементов на основе микрополосковых структур, позволяющих измерять диэлектрическую проницаемость материалов на сверхвысоких частотах (СВЧ).</w:t>
      </w:r>
    </w:p>
    <w:p w14:paraId="0530AC78" w14:textId="77777777" w:rsidR="00181BC9" w:rsidRDefault="00181BC9" w:rsidP="00181BC9">
      <w:r>
        <w:t>В работе [16] использование микрополосковых структур для исследования диэлектрической проницаемости проводилось на трех сконструированных датчиках, показанных на рис.10.</w:t>
      </w:r>
    </w:p>
    <w:p w14:paraId="375528D3" w14:textId="77777777" w:rsidR="00181BC9" w:rsidRDefault="00181BC9" w:rsidP="00181BC9">
      <w:pPr>
        <w:pStyle w:val="af2"/>
      </w:pPr>
      <w:r>
        <w:rPr>
          <w:lang w:val="ru-RU"/>
        </w:rPr>
        <w:drawing>
          <wp:inline distT="0" distB="0" distL="0" distR="0" wp14:anchorId="5465912A" wp14:editId="577EC9B4">
            <wp:extent cx="5943600" cy="1920240"/>
            <wp:effectExtent l="0" t="0" r="0" b="3810"/>
            <wp:docPr id="63" name="Рисунок 6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19202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90BE717" w14:textId="77777777" w:rsidR="00181BC9" w:rsidRPr="00181BC9" w:rsidRDefault="00181BC9" w:rsidP="00181BC9">
      <w:pPr>
        <w:pStyle w:val="af2"/>
        <w:rPr>
          <w:lang w:val="ru-RU"/>
        </w:rPr>
      </w:pPr>
      <w:r w:rsidRPr="00181BC9">
        <w:rPr>
          <w:lang w:val="ru-RU"/>
        </w:rPr>
        <w:t xml:space="preserve">   а)                                                   б)                                                  в)</w:t>
      </w:r>
    </w:p>
    <w:p w14:paraId="38AD3F4A" w14:textId="77777777" w:rsidR="00181BC9" w:rsidRPr="00181BC9" w:rsidRDefault="00181BC9" w:rsidP="00181BC9">
      <w:pPr>
        <w:pStyle w:val="af2"/>
        <w:rPr>
          <w:lang w:val="ru-RU"/>
        </w:rPr>
      </w:pPr>
      <w:r w:rsidRPr="00181BC9">
        <w:rPr>
          <w:lang w:val="ru-RU"/>
        </w:rPr>
        <w:t>Рисунок 10 - Конструкции микрополосковых СВЧ датчиков</w:t>
      </w:r>
    </w:p>
    <w:p w14:paraId="6961BCDE" w14:textId="40DE9DFF" w:rsidR="00181BC9" w:rsidRDefault="00181BC9" w:rsidP="00181BC9">
      <w:r>
        <w:t>Конструкция первого СВЧ датчика состоит из двух отрезков микрополосковых линий, соединенных между собой отрезком несимметричной воздушной полосковой линии [17], в котором и размещается исследуемый образец. Второй вид датчика выполнен на основе связанных микрополосковых линий, которые склеивались пластмассовым компаундом так, что взаимодействующие полоски резонаторов располагались параллельно друг другу внутри конструкции, а экраны МПЛ – снаружи, в верхней части конструкции был оставлен промежуток [18], куда и заливался исследуемых образец [16].  Третий вид датчика выполнен на основе «кольцевого резонатора», полоска которого свернута в виде квадрата. В этом датчике образец заливался в зазор между обкладками плоского конденсатора, изготовленными из тонкой латуни и припаянными к концам полоски резонатора [18]. Авторами были построены АЧХ для всех видов датчиков (рис. 11).</w:t>
      </w:r>
    </w:p>
    <w:p w14:paraId="65977952" w14:textId="77777777" w:rsidR="00181BC9" w:rsidRDefault="00181BC9" w:rsidP="00181BC9">
      <w:pPr>
        <w:pStyle w:val="af2"/>
      </w:pPr>
      <w:r>
        <w:rPr>
          <w:lang w:val="ru-RU"/>
        </w:rPr>
        <w:lastRenderedPageBreak/>
        <w:drawing>
          <wp:inline distT="0" distB="0" distL="0" distR="0" wp14:anchorId="360CE93D" wp14:editId="285CA3C0">
            <wp:extent cx="5943600" cy="1965960"/>
            <wp:effectExtent l="0" t="0" r="0" b="0"/>
            <wp:docPr id="61" name="Рисунок 6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19659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F163579" w14:textId="77777777" w:rsidR="00181BC9" w:rsidRPr="00181BC9" w:rsidRDefault="00181BC9" w:rsidP="00181BC9">
      <w:pPr>
        <w:pStyle w:val="af2"/>
        <w:rPr>
          <w:lang w:val="ru-RU"/>
        </w:rPr>
      </w:pPr>
      <w:r w:rsidRPr="00181BC9">
        <w:rPr>
          <w:lang w:val="ru-RU"/>
        </w:rPr>
        <w:t>Рисунок 11 - Амплитудно-частотные характеристики микрополосковых СВЧ датчиков</w:t>
      </w:r>
    </w:p>
    <w:p w14:paraId="120E585F" w14:textId="77777777" w:rsidR="00181BC9" w:rsidRDefault="00181BC9" w:rsidP="00181BC9">
      <w:r>
        <w:t>В ходе экспериментальной проверки авторами было показано, что наибольшей чувствительностью обладает датчик мостового типа на связанных микрополосковых линиях и датчик на основе «кольцевого» резонатора. Относительная чувствительность исследуемых датчиков лежит в пределах 10</w:t>
      </w:r>
      <w:r w:rsidRPr="001537EE">
        <w:t>-3</w:t>
      </w:r>
      <w:r>
        <w:t>-10</w:t>
      </w:r>
      <w:r w:rsidRPr="001537EE">
        <w:t>-4</w:t>
      </w:r>
      <w:r>
        <w:t>, что позволяет фиксировать небольшие изменения диэлектрической проницаемости жидких кристаллов на СВЧ, связанные с изменением ориентации молекул в образце жидкого кристалла.</w:t>
      </w:r>
    </w:p>
    <w:p w14:paraId="4B610044" w14:textId="77777777" w:rsidR="00181BC9" w:rsidRDefault="00181BC9" w:rsidP="00181BC9">
      <w:r>
        <w:t xml:space="preserve">В дальнейшем авторами была усовершенствована конструкция СВЧ датчика, в которой микрополосковый измерительный резонатор включен в качестве задающего контура в автогенераторную СВЧ схему. Задающим контуром является микрополосковый резонатор «кольцевого» типа с вертикальными измерительными позолоченными пластинами. В качестве исследуемых образцов выступили два типичных </w:t>
      </w:r>
      <w:proofErr w:type="spellStart"/>
      <w:r>
        <w:t>нематогена</w:t>
      </w:r>
      <w:proofErr w:type="spellEnd"/>
      <w:r>
        <w:t xml:space="preserve">: 4-н-пентил-4-цианобифенил (5ЦБФ) и 4-метоксибензилиден-4-бутиланилин (МББА). Методика проведения эксперимента заключается в следующем: в зазор измерительных пластин СВЧ датчика автогенератора помещался жидкий кристалл и выдерживался в течение часа для достижения равновесия. Затем для каждого образца при наложении магнитного поля снимались зависимости относительного изменения частоты и амплитуды. Аналогичные зависимости были сняты при приложении к измерительным пластинам датчика электрического напряжения. Также было исследовано совместное воздействие магнитного и электрического полей на жидкие кристаллы. СВЧ датчик размещался в миниатюрном термостате, который располагался между полюсами электромагнита. Корпус автогенератора мог вращаться между полюсами магнита так, что направление магнитного поля могло быть как параллельно, так и перпендикулярно сверхвысокочастотному электрическому полю [2]. Также в работе [2] автор приводит краткое исследование нескольких работ, в которых предложены различные конструкции для расчетов КДП, использующие </w:t>
      </w:r>
      <w:proofErr w:type="spellStart"/>
      <w:r>
        <w:t>микрополосковые</w:t>
      </w:r>
      <w:proofErr w:type="spellEnd"/>
      <w:r>
        <w:t xml:space="preserve"> линии.</w:t>
      </w:r>
    </w:p>
    <w:p w14:paraId="6353FCAE" w14:textId="77777777" w:rsidR="00181BC9" w:rsidRDefault="00181BC9" w:rsidP="00181BC9">
      <w:pPr>
        <w:pStyle w:val="af3"/>
      </w:pPr>
      <w:bookmarkStart w:id="18" w:name="_Toc87625654"/>
      <w:r>
        <w:t>Метод коаксиального пробника</w:t>
      </w:r>
      <w:bookmarkEnd w:id="18"/>
    </w:p>
    <w:p w14:paraId="28118018" w14:textId="77777777" w:rsidR="00181BC9" w:rsidRDefault="00181BC9" w:rsidP="00181BC9">
      <w:r>
        <w:t>Рассмотренные выше методы требуют определенной подготовки образцов для исследования КДП, что может негативно сказываться при расчетах, так как при подготовке образцов нарушается их естественная структура. В таких случаях используют методы неразрушающие контроля.</w:t>
      </w:r>
    </w:p>
    <w:p w14:paraId="426BED3D" w14:textId="77777777" w:rsidR="00181BC9" w:rsidRDefault="00181BC9" w:rsidP="00181BC9">
      <w:r>
        <w:t xml:space="preserve">Наиболее современным неразрушающим методом, использующим коаксиальную линию передачи, является метод коаксиального пробника. Метод коаксиального зонда с открытым концом [8] в течение многих лет использовался в качестве метода неразрушающего контроля, так как исследование образцов происходит путем погружения коаксиального пробника в жидкость или касания пробника плоской поверхности материала. Разомкнутый коаксиальный пробник является срезом коаксиальной линии передачи. Структура полей на конце пробника искажается, как только они входят в контакт с испытуемым материалом, и для определения диэлектрических параметров измеряется отраженный сигнал с помощью векторного анализатора цепей [19] (рис. 12). </w:t>
      </w:r>
    </w:p>
    <w:p w14:paraId="417912CE" w14:textId="77777777" w:rsidR="00181BC9" w:rsidRDefault="00181BC9" w:rsidP="00181BC9">
      <w:pPr>
        <w:pStyle w:val="af2"/>
      </w:pPr>
      <w:r>
        <w:rPr>
          <w:lang w:val="ru-RU"/>
        </w:rPr>
        <w:lastRenderedPageBreak/>
        <w:drawing>
          <wp:inline distT="0" distB="0" distL="0" distR="0" wp14:anchorId="0502C762" wp14:editId="56A7AAC8">
            <wp:extent cx="3124200" cy="1623060"/>
            <wp:effectExtent l="0" t="0" r="0" b="0"/>
            <wp:docPr id="27" name="Рисунок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5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71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24200" cy="16230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CD333EA" w14:textId="77777777" w:rsidR="00181BC9" w:rsidRPr="00EF0EFC" w:rsidRDefault="00181BC9" w:rsidP="00181BC9">
      <w:pPr>
        <w:pStyle w:val="af2"/>
        <w:rPr>
          <w:lang w:val="ru-RU"/>
        </w:rPr>
      </w:pPr>
      <w:r w:rsidRPr="00EF0EFC">
        <w:rPr>
          <w:lang w:val="ru-RU"/>
        </w:rPr>
        <w:t>Рисунок 12 – Метод коаксиального пробника</w:t>
      </w:r>
    </w:p>
    <w:p w14:paraId="2D7B7200" w14:textId="77777777" w:rsidR="00181BC9" w:rsidRDefault="00181BC9" w:rsidP="00181BC9">
      <w:r>
        <w:t>С помощью данного методы в работе [16] авторы измеряли КДП растворов поваренной соли концентрацией 0.5 моль/</w:t>
      </w:r>
      <w:proofErr w:type="gramStart"/>
      <w:r>
        <w:t>л</w:t>
      </w:r>
      <w:proofErr w:type="gramEnd"/>
      <w:r>
        <w:t xml:space="preserve"> и 1 моль/л. Измерения проводились в диапазоне частот от 1 до 20 ГГц с использованием векторного анализатора цепей HP 8510. Для интерпретации результатов авторами были исследованы конденсаторная модель, антенная модель, модель виртуальной линии и модель с использованием рациональных функций. По итогам тестирования наилучшие результаты дает модель виртуальных линий. Так, для исследуемых растворов погрешность по ε' составляет 5-10 %, а по ε'' – 2-5 % для раствора 0.5 моль/л и 1-5 % для раствора 1 моль/л.</w:t>
      </w:r>
    </w:p>
    <w:p w14:paraId="73D1233E" w14:textId="77777777" w:rsidR="00181BC9" w:rsidRDefault="00181BC9" w:rsidP="00181BC9">
      <w:r>
        <w:t xml:space="preserve">При использовании метода коаксиального пробника к образцу предъявляются определенные требования, а именно: </w:t>
      </w:r>
    </w:p>
    <w:p w14:paraId="3941F909" w14:textId="77777777" w:rsidR="00181BC9" w:rsidRDefault="00181BC9" w:rsidP="00181BC9">
      <w:r>
        <w:t xml:space="preserve">− толщина образца более половины длины волны; </w:t>
      </w:r>
    </w:p>
    <w:p w14:paraId="32FB9D52" w14:textId="77777777" w:rsidR="00181BC9" w:rsidRDefault="00181BC9" w:rsidP="00181BC9">
      <w:r>
        <w:t xml:space="preserve">− немагнитный; </w:t>
      </w:r>
    </w:p>
    <w:p w14:paraId="79CF1E77" w14:textId="77777777" w:rsidR="00181BC9" w:rsidRDefault="00181BC9" w:rsidP="00181BC9">
      <w:r>
        <w:t xml:space="preserve">− изотропный и однородный; плоская поверхность; </w:t>
      </w:r>
    </w:p>
    <w:p w14:paraId="19D0A69B" w14:textId="77777777" w:rsidR="00181BC9" w:rsidRDefault="00181BC9" w:rsidP="00181BC9">
      <w:r>
        <w:t>− отсутствие воздушных зазоров.</w:t>
      </w:r>
    </w:p>
    <w:p w14:paraId="74944705" w14:textId="77777777" w:rsidR="00181BC9" w:rsidRDefault="00181BC9" w:rsidP="00181BC9">
      <w:r>
        <w:t xml:space="preserve">Основными источниками погрешностей при использовании данного метода является неточность измерения величины отраженного сигнала </w:t>
      </w:r>
      <w:r>
        <w:rPr>
          <w:lang w:val="en-US"/>
        </w:rPr>
        <w:t>S</w:t>
      </w:r>
      <w:r>
        <w:rPr>
          <w:vertAlign w:val="subscript"/>
        </w:rPr>
        <w:t>11</w:t>
      </w:r>
      <w:r>
        <w:t>, нестабильность кабеля, наличие воздушных зазоров, а также неточность измерения толщины образца. Использование коаксиального пробника для определения КДП требует хорошего контакта с исследуемым образцом.</w:t>
      </w:r>
    </w:p>
    <w:p w14:paraId="77758C4A" w14:textId="77777777" w:rsidR="00181BC9" w:rsidRDefault="00181BC9" w:rsidP="00181BC9">
      <w:pPr>
        <w:pStyle w:val="af3"/>
      </w:pPr>
      <w:bookmarkStart w:id="19" w:name="_Toc87625655"/>
      <w:r>
        <w:t>Метод свободного пространства</w:t>
      </w:r>
      <w:bookmarkEnd w:id="19"/>
      <w:r>
        <w:t xml:space="preserve"> </w:t>
      </w:r>
    </w:p>
    <w:p w14:paraId="7393EE49" w14:textId="77777777" w:rsidR="00181BC9" w:rsidRDefault="00181BC9" w:rsidP="00181BC9">
      <w:r>
        <w:t>Одним из существующих методов для измерения диэлектрической проницаемости, отвечающей требованиям для неразрушающего контроля, является измерение коэффициента передачи в свободном пространстве с использованием антенн для фокусировки энергии на образце или пропускании энергии через него [2] (рис. 13).</w:t>
      </w:r>
    </w:p>
    <w:p w14:paraId="0D296D05" w14:textId="77777777" w:rsidR="00181BC9" w:rsidRDefault="00181BC9" w:rsidP="00181BC9">
      <w:pPr>
        <w:pStyle w:val="af2"/>
      </w:pPr>
      <w:r>
        <w:rPr>
          <w:lang w:val="ru-RU"/>
        </w:rPr>
        <w:drawing>
          <wp:inline distT="0" distB="0" distL="0" distR="0" wp14:anchorId="794F8CA0" wp14:editId="7BD2CB62">
            <wp:extent cx="5814060" cy="1851660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8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148" r="97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14060" cy="18516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9480E18" w14:textId="77777777" w:rsidR="00181BC9" w:rsidRPr="00EF0EFC" w:rsidRDefault="00181BC9" w:rsidP="00181BC9">
      <w:pPr>
        <w:pStyle w:val="af2"/>
        <w:rPr>
          <w:lang w:val="ru-RU"/>
        </w:rPr>
      </w:pPr>
      <w:r w:rsidRPr="00EF0EFC">
        <w:rPr>
          <w:lang w:val="ru-RU"/>
        </w:rPr>
        <w:t>Рисунок 13 - Метод свободного пространства</w:t>
      </w:r>
    </w:p>
    <w:p w14:paraId="2C5167D1" w14:textId="77777777" w:rsidR="00181BC9" w:rsidRDefault="00181BC9" w:rsidP="00181BC9">
      <w:r>
        <w:t xml:space="preserve">Сущность метода исследования диэлектриков в свободном пространстве (метода свободного пространства) состоит в сравнении параметров электромагнитной волны, прошедшей через диэлектрический образец или им отраженной, с параметрами волны, </w:t>
      </w:r>
      <w:r>
        <w:lastRenderedPageBreak/>
        <w:t>проходящей то же пространство без образца, либо с волной, отраженной от идеального отражателя [19, 20].</w:t>
      </w:r>
    </w:p>
    <w:p w14:paraId="4A088023" w14:textId="77777777" w:rsidR="00181BC9" w:rsidRDefault="00181BC9" w:rsidP="00181BC9">
      <w:r>
        <w:t>При использовании данного метода диэлектрический образец располагается в свободном пространстве, не имея механического контакта с какими-либо узлами измерительной аппаратуры, кроме элементов крепления образца. Элементы крепления не оказывают существенного влияния на результаты измерений [20]. Сравнивая параметры отраженной и прошедшей волн, можно вычислить собственные параметры диэлектрика</w:t>
      </w:r>
    </w:p>
    <w:p w14:paraId="432895EE" w14:textId="77777777" w:rsidR="00181BC9" w:rsidRDefault="00181BC9" w:rsidP="00181BC9">
      <w:r>
        <w:t xml:space="preserve">Различные варианты экспериментальной установки исследованы в работе [21]. В работе рассмотрены три системы, используемые для измерения коэффициента передачи в свободном пространстве. </w:t>
      </w:r>
    </w:p>
    <w:p w14:paraId="070CB5CA" w14:textId="77777777" w:rsidR="00181BC9" w:rsidRDefault="00181BC9" w:rsidP="00181BC9">
      <w:r>
        <w:t xml:space="preserve">1. Система с рупорными антеннами (состоит из двух антенн, расположенных на противоположных сторонах от исследуемого объекта). </w:t>
      </w:r>
    </w:p>
    <w:p w14:paraId="0DA6B032" w14:textId="77777777" w:rsidR="00181BC9" w:rsidRDefault="00181BC9" w:rsidP="00181BC9">
      <w:r>
        <w:t>2. Система с линзами (состоит из двух рупорных антенн и двояковыпуклой линзы, расположенной между передающей антенной и исследуемым объектом).</w:t>
      </w:r>
    </w:p>
    <w:p w14:paraId="4EC22F47" w14:textId="77777777" w:rsidR="00181BC9" w:rsidRDefault="00181BC9" w:rsidP="00181BC9">
      <w:r>
        <w:t>3. Система с антенной решеткой (состоит из антенной решетки и приемной рупорной антенны). Авторами протестированы предложенные системы с целью выявления наилучшего варианта для промышленного применения. Был измерен коэффициент передачи и рассчитана КДП семи образцов (пена ПВХ, фторопласт, акрил и др.), размер которых не превышал 10 см. Измерения проводились в диапазоне частот от 10 до 12 ГГц. Полученные значения КДП сравнивались с данными, опубликованными в литературе. Анализ полученных данных позволил сделать вывод о том, что система с антенной решеткой имеет ряд преимуществ по сравнению с двумя другими системами [2, 8].</w:t>
      </w:r>
    </w:p>
    <w:p w14:paraId="0A9C8AB7" w14:textId="77777777" w:rsidR="00181BC9" w:rsidRDefault="00181BC9" w:rsidP="00181BC9">
      <w:pPr>
        <w:rPr>
          <w:sz w:val="28"/>
          <w:szCs w:val="28"/>
        </w:rPr>
      </w:pPr>
      <w:r>
        <w:t xml:space="preserve">В работе [15] автор рассматривает два варианта поляризационного метода определения КДП исследуемого образца. Первый вариант заключается в том, что если на поверхность раздела двух сред падает электромагнитная волна с круговой или эллиптической поляризацией, то отраженная волна меняет поляризационную структуру. Комплексный коэффициент поляризации отраженной волны </w:t>
      </w:r>
      <w:r w:rsidRPr="006E47D2">
        <w:t>р</w:t>
      </w:r>
      <w:r>
        <w:t xml:space="preserve"> равен отношению коэффициентов Френеля для параллельно и перпендикулярно поляризованной волны:</w:t>
      </w:r>
    </w:p>
    <w:p w14:paraId="328252BE" w14:textId="77777777" w:rsidR="00181BC9" w:rsidRDefault="00181BC9" w:rsidP="00181BC9">
      <w:pPr>
        <w:pStyle w:val="af0"/>
      </w:pPr>
      <w:r>
        <w:tab/>
      </w:r>
      <m:oMath>
        <m:r>
          <w:rPr>
            <w:rFonts w:ascii="Cambria Math" w:hAnsi="Cambria Math"/>
          </w:rPr>
          <m:t>p</m:t>
        </m:r>
        <m:r>
          <m:rPr>
            <m:sty m:val="p"/>
          </m:rPr>
          <w:rPr>
            <w:rFonts w:ascii="Cambria Math" w:hAnsi="Cambria Math"/>
          </w:rPr>
          <m:t>=</m:t>
        </m:r>
        <m:f>
          <m:fPr>
            <m:ctrlPr>
              <w:rPr>
                <w:rFonts w:ascii="Cambria Math" w:hAnsi="Cambria Math"/>
                <w:lang w:eastAsia="en-US"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  <w:lang w:eastAsia="en-US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hAnsi="Cambria Math"/>
                  </w:rPr>
                  <m:t>r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</w:rPr>
                  <m:t>||</m:t>
                </m:r>
              </m:sub>
            </m:sSub>
          </m:num>
          <m:den>
            <m:sSub>
              <m:sSubPr>
                <m:ctrlPr>
                  <w:rPr>
                    <w:rFonts w:ascii="Cambria Math" w:hAnsi="Cambria Math"/>
                    <w:lang w:eastAsia="en-US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hAnsi="Cambria Math"/>
                  </w:rPr>
                  <m:t>r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</w:rPr>
                  <m:t>⊥</m:t>
                </m:r>
              </m:sub>
            </m:sSub>
          </m:den>
        </m:f>
      </m:oMath>
      <w:r>
        <w:t xml:space="preserve"> ,</w:t>
      </w:r>
      <w:r>
        <w:tab/>
        <w:t>(8)</w:t>
      </w:r>
    </w:p>
    <w:p w14:paraId="4CAD08B5" w14:textId="77777777" w:rsidR="00181BC9" w:rsidRDefault="00181BC9" w:rsidP="00181BC9">
      <w:pPr>
        <w:ind w:firstLine="0"/>
        <w:rPr>
          <w:rFonts w:eastAsiaTheme="minorHAnsi"/>
          <w:iCs/>
        </w:rPr>
      </w:pPr>
      <w:r>
        <w:rPr>
          <w:rFonts w:eastAsiaTheme="minorEastAsia"/>
          <w:iCs/>
        </w:rPr>
        <w:t xml:space="preserve">где </w:t>
      </w:r>
      <m:oMath>
        <m:sSub>
          <m:sSubPr>
            <m:ctrlPr>
              <w:rPr>
                <w:rFonts w:ascii="Cambria Math" w:hAnsi="Cambria Math"/>
                <w:i/>
                <w:lang w:eastAsia="en-US"/>
              </w:rPr>
            </m:ctrlPr>
          </m:sSubPr>
          <m:e>
            <m:r>
              <w:rPr>
                <w:rFonts w:ascii="Cambria Math" w:hAnsi="Cambria Math"/>
              </w:rPr>
              <m:t>r</m:t>
            </m:r>
          </m:e>
          <m:sub>
            <m:r>
              <w:rPr>
                <w:rFonts w:ascii="Cambria Math" w:hAnsi="Cambria Math"/>
              </w:rPr>
              <m:t>||</m:t>
            </m:r>
          </m:sub>
        </m:sSub>
      </m:oMath>
      <w:r>
        <w:rPr>
          <w:rFonts w:eastAsiaTheme="minorEastAsia"/>
        </w:rPr>
        <w:t xml:space="preserve"> и </w:t>
      </w:r>
      <m:oMath>
        <m:sSub>
          <m:sSubPr>
            <m:ctrlPr>
              <w:rPr>
                <w:rFonts w:ascii="Cambria Math" w:hAnsi="Cambria Math"/>
                <w:i/>
                <w:lang w:eastAsia="en-US"/>
              </w:rPr>
            </m:ctrlPr>
          </m:sSubPr>
          <m:e>
            <m:r>
              <w:rPr>
                <w:rFonts w:ascii="Cambria Math" w:hAnsi="Cambria Math"/>
              </w:rPr>
              <m:t>r</m:t>
            </m:r>
          </m:e>
          <m:sub>
            <m:r>
              <w:rPr>
                <w:rFonts w:ascii="Cambria Math" w:hAnsi="Cambria Math"/>
              </w:rPr>
              <m:t>⊥</m:t>
            </m:r>
          </m:sub>
        </m:sSub>
      </m:oMath>
      <w:r>
        <w:rPr>
          <w:rFonts w:eastAsiaTheme="minorEastAsia"/>
        </w:rPr>
        <w:t xml:space="preserve">- </w:t>
      </w:r>
      <w:r>
        <w:t>коэффициенты Френеля для параллельно и перпендикулярно поляризованной волны.</w:t>
      </w:r>
    </w:p>
    <w:p w14:paraId="2533DEBF" w14:textId="77777777" w:rsidR="00181BC9" w:rsidRDefault="00181BC9" w:rsidP="00181BC9">
      <w:r>
        <w:t>Таким образом, экспериментальное нахождение р, например, по амплитудам вертикальной и горизонтальной составляющих поля и углу ориентации поляризационного эллипса также дает возможность вычислить ε.</w:t>
      </w:r>
    </w:p>
    <w:p w14:paraId="51F51ACE" w14:textId="77777777" w:rsidR="00181BC9" w:rsidRDefault="00181BC9" w:rsidP="00181BC9">
      <w:r>
        <w:t>Второй вариант основан на измерении угла Брюстера и отношения модулей коэффициентов отражения параллельно и перпендикулярно поляризованных волн [22]. Основная ошибка измерений по углу Брюстера и поляризационными методами обусловлена тем, что теория этих методов учитывает отражение волн только от границы раздела двух сред и предполагает отсутствие внутренних многократных отражений, вызываемых теневой поверхностью образца [19].</w:t>
      </w:r>
    </w:p>
    <w:p w14:paraId="43122D5F" w14:textId="77777777" w:rsidR="00181BC9" w:rsidRDefault="00181BC9" w:rsidP="00181BC9">
      <w:r>
        <w:t>Комплексные коэффициенты прохождения параллельно и перпендикулярно поляризованных волн через границу раздела «свободное пространство – диэлектрик», согласно формулам Френеля, записываются в виде:</w:t>
      </w:r>
    </w:p>
    <w:bookmarkStart w:id="20" w:name="_Hlk87622452"/>
    <w:p w14:paraId="2B637BDE" w14:textId="77777777" w:rsidR="00181BC9" w:rsidRDefault="00DF7B72" w:rsidP="00181BC9">
      <w:pPr>
        <w:jc w:val="center"/>
        <w:rPr>
          <w:rFonts w:eastAsiaTheme="minorEastAsia"/>
        </w:rPr>
      </w:pPr>
      <m:oMath>
        <m:sSub>
          <m:sSubPr>
            <m:ctrlPr>
              <w:rPr>
                <w:rFonts w:ascii="Cambria Math" w:hAnsi="Cambria Math"/>
                <w:lang w:eastAsia="en-US"/>
              </w:rPr>
            </m:ctrlPr>
          </m:sSubPr>
          <m:e>
            <m:acc>
              <m:accPr>
                <m:chr m:val="̇"/>
                <m:ctrlPr>
                  <w:rPr>
                    <w:rFonts w:ascii="Cambria Math" w:hAnsi="Cambria Math"/>
                    <w:lang w:eastAsia="en-US"/>
                  </w:rPr>
                </m:ctrlPr>
              </m:accPr>
              <m:e>
                <m:r>
                  <w:rPr>
                    <w:rFonts w:ascii="Cambria Math" w:hAnsi="Cambria Math"/>
                  </w:rPr>
                  <m:t>τ</m:t>
                </m:r>
              </m:e>
            </m:acc>
          </m:e>
          <m:sub>
            <m:r>
              <m:rPr>
                <m:sty m:val="p"/>
              </m:rPr>
              <w:rPr>
                <w:rFonts w:ascii="Cambria Math" w:hAnsi="Cambria Math"/>
              </w:rPr>
              <m:t>||</m:t>
            </m:r>
          </m:sub>
        </m:sSub>
        <m:r>
          <m:rPr>
            <m:sty m:val="p"/>
          </m:rPr>
          <w:rPr>
            <w:rFonts w:ascii="Cambria Math" w:hAnsi="Cambria Math"/>
          </w:rPr>
          <m:t>=</m:t>
        </m:r>
        <m:f>
          <m:fPr>
            <m:ctrlPr>
              <w:rPr>
                <w:rFonts w:ascii="Cambria Math" w:hAnsi="Cambria Math"/>
                <w:lang w:eastAsia="en-US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</w:rPr>
              <m:t>2</m:t>
            </m:r>
            <m:rad>
              <m:radPr>
                <m:degHide m:val="1"/>
                <m:ctrlPr>
                  <w:rPr>
                    <w:rFonts w:ascii="Cambria Math" w:hAnsi="Cambria Math"/>
                    <w:lang w:eastAsia="en-US"/>
                  </w:rPr>
                </m:ctrlPr>
              </m:radPr>
              <m:deg/>
              <m:e>
                <m:r>
                  <w:rPr>
                    <w:rFonts w:ascii="Cambria Math" w:hAnsi="Cambria Math"/>
                  </w:rPr>
                  <m:t>ε</m:t>
                </m:r>
                <m:r>
                  <m:rPr>
                    <m:sty m:val="p"/>
                  </m:rPr>
                  <w:rPr>
                    <w:rFonts w:ascii="Cambria Math" w:hAnsi="Cambria Math"/>
                  </w:rPr>
                  <m:t xml:space="preserve"> </m:t>
                </m:r>
                <m:func>
                  <m:funcPr>
                    <m:ctrlPr>
                      <w:rPr>
                        <w:rFonts w:ascii="Cambria Math" w:hAnsi="Cambria Math"/>
                        <w:lang w:eastAsia="en-US"/>
                      </w:rPr>
                    </m:ctrlPr>
                  </m:funcPr>
                  <m:fName>
                    <m:r>
                      <m:rPr>
                        <m:sty m:val="p"/>
                      </m:rPr>
                      <w:rPr>
                        <w:rFonts w:ascii="Cambria Math" w:hAnsi="Cambria Math"/>
                      </w:rPr>
                      <m:t>cos</m:t>
                    </m:r>
                  </m:fName>
                  <m:e>
                    <m:r>
                      <w:rPr>
                        <w:rFonts w:ascii="Cambria Math" w:hAnsi="Cambria Math"/>
                      </w:rPr>
                      <m:t>φ</m:t>
                    </m:r>
                  </m:e>
                </m:func>
              </m:e>
            </m:rad>
          </m:num>
          <m:den>
            <m:r>
              <w:rPr>
                <w:rFonts w:ascii="Cambria Math" w:hAnsi="Cambria Math"/>
              </w:rPr>
              <m:t>ε</m:t>
            </m:r>
            <m:func>
              <m:funcPr>
                <m:ctrlPr>
                  <w:rPr>
                    <w:rFonts w:ascii="Cambria Math" w:hAnsi="Cambria Math"/>
                    <w:lang w:eastAsia="en-US"/>
                  </w:rPr>
                </m:ctrlPr>
              </m:funcPr>
              <m:fName>
                <m:r>
                  <m:rPr>
                    <m:sty m:val="p"/>
                  </m:rPr>
                  <w:rPr>
                    <w:rFonts w:ascii="Cambria Math" w:hAnsi="Cambria Math"/>
                  </w:rPr>
                  <m:t>cos</m:t>
                </m:r>
              </m:fName>
              <m:e>
                <m:r>
                  <w:rPr>
                    <w:rFonts w:ascii="Cambria Math" w:hAnsi="Cambria Math"/>
                  </w:rPr>
                  <m:t>φ</m:t>
                </m:r>
              </m:e>
            </m:func>
            <m:r>
              <m:rPr>
                <m:sty m:val="p"/>
              </m:rPr>
              <w:rPr>
                <w:rFonts w:ascii="Cambria Math" w:hAnsi="Cambria Math"/>
              </w:rPr>
              <m:t>+</m:t>
            </m:r>
            <m:rad>
              <m:radPr>
                <m:degHide m:val="1"/>
                <m:ctrlPr>
                  <w:rPr>
                    <w:rFonts w:ascii="Cambria Math" w:hAnsi="Cambria Math"/>
                    <w:lang w:eastAsia="en-US"/>
                  </w:rPr>
                </m:ctrlPr>
              </m:radPr>
              <m:deg/>
              <m:e>
                <m:r>
                  <w:rPr>
                    <w:rFonts w:ascii="Cambria Math" w:hAnsi="Cambria Math"/>
                  </w:rPr>
                  <m:t>ε</m:t>
                </m:r>
                <m:r>
                  <m:rPr>
                    <m:sty m:val="p"/>
                  </m:rPr>
                  <w:rPr>
                    <w:rFonts w:ascii="Cambria Math" w:hAnsi="Cambria Math"/>
                  </w:rPr>
                  <m:t>-</m:t>
                </m:r>
                <m:func>
                  <m:funcPr>
                    <m:ctrlPr>
                      <w:rPr>
                        <w:rFonts w:ascii="Cambria Math" w:hAnsi="Cambria Math"/>
                        <w:lang w:eastAsia="en-US"/>
                      </w:rPr>
                    </m:ctrlPr>
                  </m:funcPr>
                  <m:fName>
                    <m:sSup>
                      <m:sSupPr>
                        <m:ctrlPr>
                          <w:rPr>
                            <w:rFonts w:ascii="Cambria Math" w:hAnsi="Cambria Math"/>
                            <w:lang w:eastAsia="en-US"/>
                          </w:rPr>
                        </m:ctrlPr>
                      </m:sSupPr>
                      <m:e>
                        <m:r>
                          <m:rPr>
                            <m:sty m:val="p"/>
                          </m:rPr>
                          <w:rPr>
                            <w:rFonts w:ascii="Cambria Math" w:hAnsi="Cambria Math"/>
                          </w:rPr>
                          <m:t>sin</m:t>
                        </m:r>
                      </m:e>
                      <m:sup>
                        <m:r>
                          <m:rPr>
                            <m:sty m:val="p"/>
                          </m:rPr>
                          <w:rPr>
                            <w:rFonts w:ascii="Cambria Math" w:hAnsi="Cambria Math"/>
                          </w:rPr>
                          <m:t>2</m:t>
                        </m:r>
                      </m:sup>
                    </m:sSup>
                  </m:fName>
                  <m:e>
                    <m:r>
                      <w:rPr>
                        <w:rFonts w:ascii="Cambria Math" w:hAnsi="Cambria Math"/>
                      </w:rPr>
                      <m:t>φ</m:t>
                    </m:r>
                  </m:e>
                </m:func>
              </m:e>
            </m:rad>
          </m:den>
        </m:f>
        <w:bookmarkEnd w:id="20"/>
        <m:sSub>
          <m:sSubPr>
            <m:ctrlPr>
              <w:rPr>
                <w:rFonts w:ascii="Cambria Math" w:eastAsiaTheme="minorEastAsia" w:hAnsi="Cambria Math"/>
                <w:noProof/>
                <w:lang w:eastAsia="en-US"/>
              </w:rPr>
            </m:ctrlPr>
          </m:sSubPr>
          <m:e>
            <m:r>
              <m:rPr>
                <m:sty m:val="p"/>
              </m:rPr>
              <w:rPr>
                <w:rFonts w:ascii="Cambria Math" w:eastAsiaTheme="minorEastAsia" w:hAnsi="Cambria Math"/>
                <w:noProof/>
              </w:rPr>
              <m:t xml:space="preserve">,  </m:t>
            </m:r>
            <m:d>
              <m:dPr>
                <m:ctrlPr>
                  <w:rPr>
                    <w:rFonts w:ascii="Cambria Math" w:eastAsiaTheme="minorEastAsia" w:hAnsi="Cambria Math"/>
                    <w:noProof/>
                    <w:lang w:eastAsia="en-US"/>
                  </w:rPr>
                </m:ctrlPr>
              </m:dPr>
              <m:e>
                <m:r>
                  <m:rPr>
                    <m:sty m:val="p"/>
                  </m:rPr>
                  <w:rPr>
                    <w:rFonts w:ascii="Cambria Math" w:eastAsiaTheme="minorEastAsia" w:hAnsi="Cambria Math"/>
                    <w:noProof/>
                  </w:rPr>
                  <m:t>9</m:t>
                </m:r>
              </m:e>
            </m:d>
            <m:r>
              <m:rPr>
                <m:sty m:val="p"/>
              </m:rPr>
              <w:rPr>
                <w:rFonts w:ascii="Cambria Math" w:eastAsiaTheme="minorEastAsia" w:hAnsi="Cambria Math"/>
                <w:noProof/>
              </w:rPr>
              <m:t xml:space="preserve">          </m:t>
            </m:r>
            <m:acc>
              <m:accPr>
                <m:chr m:val="̇"/>
                <m:ctrlPr>
                  <w:rPr>
                    <w:rFonts w:ascii="Cambria Math" w:eastAsiaTheme="minorEastAsia" w:hAnsi="Cambria Math"/>
                    <w:noProof/>
                    <w:lang w:eastAsia="en-US"/>
                  </w:rPr>
                </m:ctrlPr>
              </m:accPr>
              <m:e>
                <m:r>
                  <w:rPr>
                    <w:rFonts w:ascii="Cambria Math" w:eastAsiaTheme="minorEastAsia" w:hAnsi="Cambria Math"/>
                    <w:noProof/>
                  </w:rPr>
                  <m:t>τ</m:t>
                </m:r>
              </m:e>
            </m:acc>
          </m:e>
          <m:sub>
            <m:r>
              <m:rPr>
                <m:sty m:val="p"/>
              </m:rPr>
              <w:rPr>
                <w:rFonts w:ascii="Cambria Math" w:eastAsiaTheme="minorEastAsia" w:hAnsi="Cambria Math"/>
                <w:noProof/>
              </w:rPr>
              <m:t>⊥</m:t>
            </m:r>
          </m:sub>
        </m:sSub>
        <m:r>
          <m:rPr>
            <m:sty m:val="p"/>
          </m:rPr>
          <w:rPr>
            <w:rFonts w:ascii="Cambria Math" w:eastAsiaTheme="minorEastAsia" w:hAnsi="Cambria Math"/>
            <w:noProof/>
          </w:rPr>
          <m:t>=</m:t>
        </m:r>
        <m:f>
          <m:fPr>
            <m:ctrlPr>
              <w:rPr>
                <w:rFonts w:ascii="Cambria Math" w:eastAsiaTheme="minorEastAsia" w:hAnsi="Cambria Math"/>
                <w:noProof/>
                <w:lang w:eastAsia="en-US"/>
              </w:rPr>
            </m:ctrlPr>
          </m:fPr>
          <m:num>
            <m:r>
              <m:rPr>
                <m:sty m:val="p"/>
              </m:rPr>
              <w:rPr>
                <w:rFonts w:ascii="Cambria Math" w:eastAsiaTheme="minorEastAsia" w:hAnsi="Cambria Math"/>
                <w:noProof/>
              </w:rPr>
              <m:t>2</m:t>
            </m:r>
            <m:func>
              <m:funcPr>
                <m:ctrlPr>
                  <w:rPr>
                    <w:rFonts w:ascii="Cambria Math" w:eastAsiaTheme="minorEastAsia" w:hAnsi="Cambria Math"/>
                    <w:noProof/>
                    <w:lang w:eastAsia="en-US"/>
                  </w:rPr>
                </m:ctrlPr>
              </m:funcPr>
              <m:fName>
                <m:r>
                  <m:rPr>
                    <m:sty m:val="p"/>
                  </m:rPr>
                  <w:rPr>
                    <w:rFonts w:ascii="Cambria Math" w:eastAsiaTheme="minorEastAsia" w:hAnsi="Cambria Math"/>
                    <w:noProof/>
                  </w:rPr>
                  <m:t>cos</m:t>
                </m:r>
              </m:fName>
              <m:e>
                <w:bookmarkStart w:id="21" w:name="_Hlk87622901"/>
                <m:r>
                  <w:rPr>
                    <w:rFonts w:ascii="Cambria Math" w:eastAsiaTheme="minorEastAsia" w:hAnsi="Cambria Math"/>
                    <w:noProof/>
                  </w:rPr>
                  <m:t>φ</m:t>
                </m:r>
                <w:bookmarkEnd w:id="21"/>
              </m:e>
            </m:func>
          </m:num>
          <m:den>
            <m:func>
              <m:funcPr>
                <m:ctrlPr>
                  <w:rPr>
                    <w:rFonts w:ascii="Cambria Math" w:eastAsiaTheme="minorEastAsia" w:hAnsi="Cambria Math"/>
                    <w:noProof/>
                    <w:lang w:eastAsia="en-US"/>
                  </w:rPr>
                </m:ctrlPr>
              </m:funcPr>
              <m:fName>
                <m:r>
                  <m:rPr>
                    <m:sty m:val="p"/>
                  </m:rPr>
                  <w:rPr>
                    <w:rFonts w:ascii="Cambria Math" w:eastAsiaTheme="minorEastAsia" w:hAnsi="Cambria Math"/>
                    <w:noProof/>
                  </w:rPr>
                  <m:t>cos</m:t>
                </m:r>
              </m:fName>
              <m:e>
                <m:r>
                  <w:rPr>
                    <w:rFonts w:ascii="Cambria Math" w:eastAsiaTheme="minorEastAsia" w:hAnsi="Cambria Math"/>
                    <w:noProof/>
                  </w:rPr>
                  <m:t>φ</m:t>
                </m:r>
              </m:e>
            </m:func>
            <m:r>
              <m:rPr>
                <m:sty m:val="p"/>
              </m:rPr>
              <w:rPr>
                <w:rFonts w:ascii="Cambria Math" w:eastAsiaTheme="minorEastAsia" w:hAnsi="Cambria Math"/>
                <w:noProof/>
              </w:rPr>
              <m:t>+</m:t>
            </m:r>
            <m:rad>
              <m:radPr>
                <m:degHide m:val="1"/>
                <m:ctrlPr>
                  <w:rPr>
                    <w:rFonts w:ascii="Cambria Math" w:eastAsiaTheme="minorEastAsia" w:hAnsi="Cambria Math"/>
                    <w:noProof/>
                    <w:lang w:eastAsia="en-US"/>
                  </w:rPr>
                </m:ctrlPr>
              </m:radPr>
              <m:deg/>
              <m:e>
                <m:r>
                  <w:rPr>
                    <w:rFonts w:ascii="Cambria Math" w:eastAsiaTheme="minorEastAsia" w:hAnsi="Cambria Math"/>
                    <w:noProof/>
                  </w:rPr>
                  <m:t>ε</m:t>
                </m:r>
                <m:r>
                  <m:rPr>
                    <m:sty m:val="p"/>
                  </m:rPr>
                  <w:rPr>
                    <w:rFonts w:ascii="Cambria Math" w:eastAsiaTheme="minorEastAsia" w:hAnsi="Cambria Math"/>
                    <w:noProof/>
                  </w:rPr>
                  <m:t>-</m:t>
                </m:r>
                <m:func>
                  <m:funcPr>
                    <m:ctrlPr>
                      <w:rPr>
                        <w:rFonts w:ascii="Cambria Math" w:eastAsiaTheme="minorEastAsia" w:hAnsi="Cambria Math"/>
                        <w:noProof/>
                        <w:lang w:eastAsia="en-US"/>
                      </w:rPr>
                    </m:ctrlPr>
                  </m:funcPr>
                  <m:fName>
                    <m:sSup>
                      <m:sSupPr>
                        <m:ctrlPr>
                          <w:rPr>
                            <w:rFonts w:ascii="Cambria Math" w:eastAsiaTheme="minorEastAsia" w:hAnsi="Cambria Math"/>
                            <w:noProof/>
                            <w:lang w:eastAsia="en-US"/>
                          </w:rPr>
                        </m:ctrlPr>
                      </m:sSupPr>
                      <m:e>
                        <m:r>
                          <m:rPr>
                            <m:sty m:val="p"/>
                          </m:rPr>
                          <w:rPr>
                            <w:rFonts w:ascii="Cambria Math" w:eastAsiaTheme="minorEastAsia" w:hAnsi="Cambria Math"/>
                            <w:noProof/>
                          </w:rPr>
                          <m:t>sin</m:t>
                        </m:r>
                      </m:e>
                      <m:sup>
                        <m:r>
                          <m:rPr>
                            <m:sty m:val="p"/>
                          </m:rPr>
                          <w:rPr>
                            <w:rFonts w:ascii="Cambria Math" w:eastAsiaTheme="minorEastAsia" w:hAnsi="Cambria Math"/>
                            <w:noProof/>
                          </w:rPr>
                          <m:t>2</m:t>
                        </m:r>
                      </m:sup>
                    </m:sSup>
                  </m:fName>
                  <m:e>
                    <m:r>
                      <w:rPr>
                        <w:rFonts w:ascii="Cambria Math" w:eastAsiaTheme="minorEastAsia" w:hAnsi="Cambria Math"/>
                        <w:noProof/>
                      </w:rPr>
                      <m:t>φ</m:t>
                    </m:r>
                  </m:e>
                </m:func>
              </m:e>
            </m:rad>
          </m:den>
        </m:f>
      </m:oMath>
      <w:r w:rsidR="00181BC9">
        <w:rPr>
          <w:rFonts w:eastAsiaTheme="minorEastAsia"/>
        </w:rPr>
        <w:t xml:space="preserve">  (10)</w:t>
      </w:r>
    </w:p>
    <w:p w14:paraId="2293ABC6" w14:textId="77777777" w:rsidR="00181BC9" w:rsidRDefault="00181BC9" w:rsidP="00181BC9">
      <w:pPr>
        <w:ind w:firstLine="0"/>
        <w:rPr>
          <w:rFonts w:eastAsiaTheme="minorHAnsi"/>
          <w:sz w:val="28"/>
          <w:szCs w:val="28"/>
        </w:rPr>
      </w:pPr>
      <w:r>
        <w:rPr>
          <w:rFonts w:eastAsiaTheme="minorEastAsia"/>
        </w:rPr>
        <w:t xml:space="preserve">где </w:t>
      </w:r>
      <m:oMath>
        <m:sSub>
          <m:sSubPr>
            <m:ctrlPr>
              <w:rPr>
                <w:rFonts w:ascii="Cambria Math" w:hAnsi="Cambria Math"/>
                <w:i/>
                <w:lang w:eastAsia="en-US"/>
              </w:rPr>
            </m:ctrlPr>
          </m:sSubPr>
          <m:e>
            <m:acc>
              <m:accPr>
                <m:chr m:val="̇"/>
                <m:ctrlPr>
                  <w:rPr>
                    <w:rFonts w:ascii="Cambria Math" w:hAnsi="Cambria Math"/>
                    <w:i/>
                    <w:lang w:eastAsia="en-US"/>
                  </w:rPr>
                </m:ctrlPr>
              </m:accPr>
              <m:e>
                <m:r>
                  <w:rPr>
                    <w:rFonts w:ascii="Cambria Math" w:hAnsi="Cambria Math"/>
                  </w:rPr>
                  <m:t>τ</m:t>
                </m:r>
              </m:e>
            </m:acc>
          </m:e>
          <m:sub>
            <m:r>
              <w:rPr>
                <w:rFonts w:ascii="Cambria Math" w:hAnsi="Cambria Math"/>
              </w:rPr>
              <m:t>||</m:t>
            </m:r>
          </m:sub>
        </m:sSub>
      </m:oMath>
      <w:r>
        <w:rPr>
          <w:rFonts w:eastAsiaTheme="minorEastAsia"/>
        </w:rPr>
        <w:t xml:space="preserve"> и </w:t>
      </w:r>
      <m:oMath>
        <m:sSub>
          <m:sSubPr>
            <m:ctrlPr>
              <w:rPr>
                <w:rFonts w:ascii="Cambria Math" w:eastAsiaTheme="minorEastAsia" w:hAnsi="Cambria Math"/>
                <w:i/>
                <w:noProof/>
                <w:lang w:eastAsia="en-US"/>
              </w:rPr>
            </m:ctrlPr>
          </m:sSubPr>
          <m:e>
            <m:r>
              <w:rPr>
                <w:rFonts w:ascii="Cambria Math" w:eastAsiaTheme="minorEastAsia" w:hAnsi="Cambria Math"/>
                <w:noProof/>
              </w:rPr>
              <m:t xml:space="preserve">  </m:t>
            </m:r>
            <m:acc>
              <m:accPr>
                <m:chr m:val="̇"/>
                <m:ctrlPr>
                  <w:rPr>
                    <w:rFonts w:ascii="Cambria Math" w:eastAsiaTheme="minorEastAsia" w:hAnsi="Cambria Math"/>
                    <w:i/>
                    <w:noProof/>
                    <w:lang w:eastAsia="en-US"/>
                  </w:rPr>
                </m:ctrlPr>
              </m:accPr>
              <m:e>
                <m:r>
                  <w:rPr>
                    <w:rFonts w:ascii="Cambria Math" w:eastAsiaTheme="minorEastAsia" w:hAnsi="Cambria Math"/>
                    <w:noProof/>
                  </w:rPr>
                  <m:t>τ</m:t>
                </m:r>
              </m:e>
            </m:acc>
          </m:e>
          <m:sub>
            <m:r>
              <w:rPr>
                <w:rFonts w:ascii="Cambria Math" w:eastAsiaTheme="minorEastAsia" w:hAnsi="Cambria Math"/>
                <w:noProof/>
              </w:rPr>
              <m:t>⊥</m:t>
            </m:r>
          </m:sub>
        </m:sSub>
      </m:oMath>
      <w:r>
        <w:rPr>
          <w:rFonts w:eastAsiaTheme="minorEastAsia"/>
        </w:rPr>
        <w:t xml:space="preserve"> - </w:t>
      </w:r>
      <w:r>
        <w:t xml:space="preserve">комплексные коэффициенты прохождения параллельно и перпендикулярно поляризованных волн, ε - диэлектрическая проницаемость, </w:t>
      </w:r>
      <m:oMath>
        <m:r>
          <w:rPr>
            <w:rFonts w:ascii="Cambria Math" w:hAnsi="Cambria Math"/>
          </w:rPr>
          <m:t>φ</m:t>
        </m:r>
      </m:oMath>
      <w:r>
        <w:t>- угол падения ЭМ волны.</w:t>
      </w:r>
    </w:p>
    <w:p w14:paraId="16318048" w14:textId="77777777" w:rsidR="00181BC9" w:rsidRDefault="00181BC9" w:rsidP="00181BC9">
      <w:r>
        <w:t>Данные выражения позволяют вычислить комплексный коэффициент прохождения волны через плоскопараллельную пластину определенной толщины, по значению которого затем можно найти и ε [22].</w:t>
      </w:r>
    </w:p>
    <w:p w14:paraId="04130A39" w14:textId="77777777" w:rsidR="00181BC9" w:rsidRDefault="00181BC9" w:rsidP="00181BC9">
      <w:r>
        <w:lastRenderedPageBreak/>
        <w:t xml:space="preserve">Образцы при исследовании должны быть большими, плоскими, с параллельными сторонами, а также однородными [14]. Основные источники погрешностей: </w:t>
      </w:r>
    </w:p>
    <w:p w14:paraId="697BEBCB" w14:textId="77777777" w:rsidR="00181BC9" w:rsidRDefault="00181BC9" w:rsidP="00181BC9">
      <w:r>
        <w:t>− неточность измерения величины S</w:t>
      </w:r>
      <w:r>
        <w:rPr>
          <w:vertAlign w:val="subscript"/>
        </w:rPr>
        <w:t>11</w:t>
      </w:r>
      <w:r>
        <w:t xml:space="preserve"> и S</w:t>
      </w:r>
      <w:r>
        <w:rPr>
          <w:vertAlign w:val="subscript"/>
        </w:rPr>
        <w:t>12</w:t>
      </w:r>
      <w:r>
        <w:t xml:space="preserve">; </w:t>
      </w:r>
    </w:p>
    <w:p w14:paraId="5211C8B3" w14:textId="77777777" w:rsidR="00181BC9" w:rsidRDefault="00181BC9" w:rsidP="00181BC9">
      <w:r>
        <w:t xml:space="preserve">− погрешность расчета; − нарушение параллельности плоскостей, перпендикулярных к направлению распространения волны; </w:t>
      </w:r>
    </w:p>
    <w:p w14:paraId="0F4D61D5" w14:textId="77777777" w:rsidR="00181BC9" w:rsidRDefault="00181BC9" w:rsidP="00181BC9">
      <w:r>
        <w:t xml:space="preserve">− низкое качество обработки поверхности плоскостей, перпендикулярных к направлению распространения волны; </w:t>
      </w:r>
    </w:p>
    <w:p w14:paraId="26AEE3F3" w14:textId="77777777" w:rsidR="00181BC9" w:rsidRDefault="00181BC9" w:rsidP="00181BC9">
      <w:r>
        <w:t xml:space="preserve">− неточность измерения толщины образца. </w:t>
      </w:r>
    </w:p>
    <w:p w14:paraId="1E6BA444" w14:textId="77777777" w:rsidR="00181BC9" w:rsidRDefault="00181BC9" w:rsidP="00181BC9">
      <w:r>
        <w:t>Метод свободного пространства может быть применен: для измерений в миллиметровом и сантиметровом диапазонах, когда другие (например, резонаторные или волноводные) методы становятся неприемлемыми; при исследовании параметров однородных, неоднородных и слоистых листовых материалов как в условиях лаборатории, так и в производственных условиях, когда изготовление образцов специальной формы из листового материала нецелесообразно; при исследовании пленочных материалов; при исследовании готовых изделий из диэлектриков (например, обтекателей антенн, антенных [22] окон и других радиопрозрачных оболочек), которые нельзя разрушать для изготовления из них образцов в целях проведения измерений. Наконец, метод свободного пространства может использоваться при исследовании диэлектриков в процессе воздействия на них каких-либо внешних факторов: радиации, механических усилий, тепловых потоков, плазменных сред, при которых любая другая измерительная аппаратура, контактирующая с диэлектрическими образцами, становится либо помехой для действия этих факторов, либо сама разрушается под их воздействием [15, 22].</w:t>
      </w:r>
    </w:p>
    <w:p w14:paraId="22898704" w14:textId="77777777" w:rsidR="00181BC9" w:rsidRDefault="00181BC9" w:rsidP="00181BC9">
      <w:pPr>
        <w:pStyle w:val="af3"/>
      </w:pPr>
      <w:bookmarkStart w:id="22" w:name="_Toc87625656"/>
      <w:r>
        <w:t>Заключение</w:t>
      </w:r>
      <w:bookmarkEnd w:id="22"/>
      <w:r>
        <w:t xml:space="preserve"> </w:t>
      </w:r>
    </w:p>
    <w:p w14:paraId="110D74C8" w14:textId="09047303" w:rsidR="00181BC9" w:rsidRDefault="00181BC9" w:rsidP="00181BC9">
      <w:pPr>
        <w:rPr>
          <w:shd w:val="clear" w:color="auto" w:fill="FFFFFF"/>
        </w:rPr>
      </w:pPr>
      <w:r>
        <w:rPr>
          <w:shd w:val="clear" w:color="auto" w:fill="FFFFFF"/>
        </w:rPr>
        <w:t xml:space="preserve">В данной работе были проанализированы методы измерения комплексной диэлектрической проницаемости материалов. Было выяснено, что на частотах от 100 Гц до 1 МГц используют конденсаторный метод, заключающийся в использовании конденсатора, между обкладками которого размещается исследуемый образец. Изменение емкости конденсатора будет зависеть от свойств материала [6]. Однако, использовании данного метода для вычисления диэлектрической проницаемости ε и тангенса угла диэлектрических потерь tgδ большую погрешность вносят воздушные зазоры, возникающие между обкладками конденсатора и образцом. </w:t>
      </w:r>
    </w:p>
    <w:p w14:paraId="4C45C558" w14:textId="77777777" w:rsidR="00181BC9" w:rsidRDefault="00181BC9" w:rsidP="00181BC9">
      <w:pPr>
        <w:rPr>
          <w:shd w:val="clear" w:color="auto" w:fill="FFFFFF"/>
        </w:rPr>
      </w:pPr>
      <w:r>
        <w:rPr>
          <w:shd w:val="clear" w:color="auto" w:fill="FFFFFF"/>
        </w:rPr>
        <w:t xml:space="preserve">Метод линии передачи заключается в том, что исследуемый образец размещают в отрезке коаксиальной линии или волновода. При этом сам образец подвергается механической обработке, что может негативно сказываться при измерениях, так как при обработке изменяется структура образца. Измерения ε и tgδ основывается на измерении отраженного и прошедшего сигналов. </w:t>
      </w:r>
    </w:p>
    <w:p w14:paraId="2BB08CA6" w14:textId="77777777" w:rsidR="00181BC9" w:rsidRDefault="00181BC9" w:rsidP="00181BC9">
      <w:pPr>
        <w:rPr>
          <w:sz w:val="28"/>
          <w:szCs w:val="28"/>
          <w:shd w:val="clear" w:color="auto" w:fill="FFFFFF"/>
        </w:rPr>
      </w:pPr>
      <w:r>
        <w:t>Прямоугольные и круглые волноводы целесообразно применять для измерения КДП материалов в диапазоне частот свыше 1 ГГц, что обусловлено значительными геометрическими размерами волноводов на более низких частотах. Как отмечается в [2], точность измерения диэлектрической проницаемости коаксиальным и волноводными методами может составлять 1–3%, но коаксиальный метод может быть неудобен для измерения твердых материалов, так как не всегда обеспечивается достаточный контакт исследуемого материала с внутренним и внешними проводниками ячейки.</w:t>
      </w:r>
    </w:p>
    <w:p w14:paraId="2F108151" w14:textId="77777777" w:rsidR="00181BC9" w:rsidRDefault="00181BC9" w:rsidP="00181BC9">
      <w:pPr>
        <w:rPr>
          <w:shd w:val="clear" w:color="auto" w:fill="FFFFFF"/>
        </w:rPr>
      </w:pPr>
      <w:r>
        <w:rPr>
          <w:shd w:val="clear" w:color="auto" w:fill="FFFFFF"/>
        </w:rPr>
        <w:t xml:space="preserve">Методы с использованием объемного резонатора можно разделить на две группы. </w:t>
      </w:r>
      <w:r>
        <w:t>К первой группе относят методы, основанные на возбуждении резонанса непосредственно в измеряемом образце, а ко второй – на внесении образцом возмущения в поле опорного резонатора. В обоих методах измеряются параметры S</w:t>
      </w:r>
      <w:r>
        <w:rPr>
          <w:vertAlign w:val="subscript"/>
        </w:rPr>
        <w:t>11</w:t>
      </w:r>
      <w:r>
        <w:t xml:space="preserve"> и/или S</w:t>
      </w:r>
      <w:r>
        <w:rPr>
          <w:vertAlign w:val="subscript"/>
        </w:rPr>
        <w:t>21</w:t>
      </w:r>
      <w:r>
        <w:t>. На основании измеренных величин рассчитывают требуемые характеристики диэлектрического материала [6]</w:t>
      </w:r>
      <w:r>
        <w:rPr>
          <w:sz w:val="28"/>
          <w:szCs w:val="28"/>
          <w:shd w:val="clear" w:color="auto" w:fill="FFFFFF"/>
        </w:rPr>
        <w:t>.</w:t>
      </w:r>
    </w:p>
    <w:p w14:paraId="273DBF11" w14:textId="77777777" w:rsidR="00181BC9" w:rsidRDefault="00181BC9" w:rsidP="00181BC9">
      <w:pPr>
        <w:rPr>
          <w:sz w:val="32"/>
          <w:szCs w:val="32"/>
          <w:shd w:val="clear" w:color="auto" w:fill="FFFFFF"/>
        </w:rPr>
      </w:pPr>
      <w:r>
        <w:t>Для определения диэлектрических свойств различных веществ помимо волноводов и коаксиальных ячеек применяются полосовые линии. Методы с использованием микрополосковых резонаторов позволяют измерять КДП веществ при весьма малых его объемах, однако они не обладают достаточной широкополосностью.</w:t>
      </w:r>
    </w:p>
    <w:p w14:paraId="06D7C353" w14:textId="77777777" w:rsidR="00181BC9" w:rsidRDefault="00181BC9" w:rsidP="00181BC9">
      <w:pPr>
        <w:rPr>
          <w:sz w:val="28"/>
          <w:szCs w:val="28"/>
          <w:shd w:val="clear" w:color="auto" w:fill="FFFFFF"/>
        </w:rPr>
      </w:pPr>
      <w:r>
        <w:lastRenderedPageBreak/>
        <w:t>Рассмотренные выше методы обладают существенным недостатком – из-за нарушения естественной структуры материала при подготовке образцов данные, полученные в результате лабораторных исследований, могут отличаться от значений КДП в условиях естественного залегания горных пород [6].</w:t>
      </w:r>
    </w:p>
    <w:p w14:paraId="1E6CF9F5" w14:textId="77777777" w:rsidR="00181BC9" w:rsidRDefault="00181BC9" w:rsidP="00181BC9">
      <w:pPr>
        <w:rPr>
          <w:shd w:val="clear" w:color="auto" w:fill="FFFFFF"/>
        </w:rPr>
      </w:pPr>
      <w:r>
        <w:rPr>
          <w:shd w:val="clear" w:color="auto" w:fill="FFFFFF"/>
        </w:rPr>
        <w:t xml:space="preserve">Методы неразрушающего контроля используют в тех случаях, когда обработка образца нежелательно или образец имеет очень большие размеры. Метод коаксиального пробника использует коаксиальную линию с открытым концом и заключается в исследовании образцов путём погружения коаксиального пробника в жидкость или касанием пробника поверхности твердого материала. И для определения диэлектрических параметров измеряется отражённый сигнал. При соприкосновении пробника и образца необходимо чтобы они плотно прилегали друг другу, в противном случае, могут возникнуть воздушные зазоры, что негативно сказывается при измерении. </w:t>
      </w:r>
    </w:p>
    <w:p w14:paraId="55BDE553" w14:textId="77777777" w:rsidR="00181BC9" w:rsidRDefault="00181BC9" w:rsidP="00181BC9">
      <w:r>
        <w:t>Сущность метода исследования диэлектриков в свободном пространстве (метода свободного пространства) состоит в сравнении параметров электромагнитной волны, прошедшей через диэлектрический образец или им отраженной, с параметрами волны, проходящей то же пространство без образца, либо с волной, отраженной от идеального отражателя [14, 20].</w:t>
      </w:r>
    </w:p>
    <w:p w14:paraId="71137944" w14:textId="77777777" w:rsidR="00181BC9" w:rsidRDefault="00181BC9" w:rsidP="00181BC9">
      <w:pPr>
        <w:rPr>
          <w:shd w:val="clear" w:color="auto" w:fill="FFFFFF"/>
        </w:rPr>
      </w:pPr>
      <w:r>
        <w:rPr>
          <w:shd w:val="clear" w:color="auto" w:fill="FFFFFF"/>
        </w:rPr>
        <w:t>Метод свободного пространства является более подходящим методом по следующим причинам:</w:t>
      </w:r>
    </w:p>
    <w:p w14:paraId="132016EC" w14:textId="77777777" w:rsidR="00181BC9" w:rsidRPr="00475E8E" w:rsidRDefault="00181BC9" w:rsidP="00475E8E">
      <w:pPr>
        <w:pStyle w:val="af1"/>
        <w:numPr>
          <w:ilvl w:val="0"/>
          <w:numId w:val="2"/>
        </w:numPr>
        <w:rPr>
          <w:shd w:val="clear" w:color="auto" w:fill="FFFFFF"/>
        </w:rPr>
      </w:pPr>
      <w:r w:rsidRPr="00475E8E">
        <w:rPr>
          <w:shd w:val="clear" w:color="auto" w:fill="FFFFFF"/>
        </w:rPr>
        <w:t>не требуется обработка материалов;</w:t>
      </w:r>
    </w:p>
    <w:p w14:paraId="511C20E4" w14:textId="77777777" w:rsidR="00181BC9" w:rsidRPr="00475E8E" w:rsidRDefault="00181BC9" w:rsidP="00475E8E">
      <w:pPr>
        <w:pStyle w:val="af1"/>
        <w:numPr>
          <w:ilvl w:val="0"/>
          <w:numId w:val="2"/>
        </w:numPr>
        <w:rPr>
          <w:shd w:val="clear" w:color="auto" w:fill="FFFFFF"/>
        </w:rPr>
      </w:pPr>
      <w:r w:rsidRPr="00475E8E">
        <w:rPr>
          <w:shd w:val="clear" w:color="auto" w:fill="FFFFFF"/>
        </w:rPr>
        <w:t>размеры образцов могут быть достаточно большими;</w:t>
      </w:r>
    </w:p>
    <w:p w14:paraId="3F26BDC5" w14:textId="77777777" w:rsidR="00181BC9" w:rsidRPr="00475E8E" w:rsidRDefault="00181BC9" w:rsidP="00475E8E">
      <w:pPr>
        <w:pStyle w:val="af1"/>
        <w:numPr>
          <w:ilvl w:val="0"/>
          <w:numId w:val="2"/>
        </w:numPr>
        <w:rPr>
          <w:shd w:val="clear" w:color="auto" w:fill="FFFFFF"/>
        </w:rPr>
      </w:pPr>
      <w:r w:rsidRPr="00475E8E">
        <w:rPr>
          <w:shd w:val="clear" w:color="auto" w:fill="FFFFFF"/>
        </w:rPr>
        <w:t>можно использовать при высоких температурах;</w:t>
      </w:r>
    </w:p>
    <w:p w14:paraId="4C4AFA78" w14:textId="77777777" w:rsidR="00181BC9" w:rsidRPr="00475E8E" w:rsidRDefault="00181BC9" w:rsidP="00475E8E">
      <w:pPr>
        <w:pStyle w:val="af1"/>
        <w:numPr>
          <w:ilvl w:val="0"/>
          <w:numId w:val="2"/>
        </w:numPr>
        <w:rPr>
          <w:shd w:val="clear" w:color="auto" w:fill="FFFFFF"/>
        </w:rPr>
      </w:pPr>
      <w:r w:rsidRPr="00475E8E">
        <w:rPr>
          <w:shd w:val="clear" w:color="auto" w:fill="FFFFFF"/>
        </w:rPr>
        <w:t>отсутствие механического контакта с образцом;</w:t>
      </w:r>
    </w:p>
    <w:p w14:paraId="7377A781" w14:textId="77777777" w:rsidR="00181BC9" w:rsidRDefault="00181BC9" w:rsidP="00475E8E">
      <w:pPr>
        <w:pStyle w:val="af1"/>
        <w:numPr>
          <w:ilvl w:val="0"/>
          <w:numId w:val="2"/>
        </w:numPr>
      </w:pPr>
      <w:r w:rsidRPr="00475E8E">
        <w:rPr>
          <w:shd w:val="clear" w:color="auto" w:fill="FFFFFF"/>
        </w:rPr>
        <w:t>возможность измерения магнитных материалов.</w:t>
      </w:r>
    </w:p>
    <w:p w14:paraId="5061FEDE" w14:textId="77777777" w:rsidR="00181BC9" w:rsidRDefault="00181BC9" w:rsidP="00181BC9">
      <w:r>
        <w:t>Таким образом, выбор того или иного метода определения электрофизических параметров горных пород является важной задачей, так как данные о диэлектрических характеристиках природных минералов могут быть полезны в таких областях как геология, сейсмология, горнодобывающая промышленность и т.п. Поэтому проанализировав все существующие методы, мы рекомендуем метода свободного пространства, как наиболее подходящий метод измерения, который позволит получить наиболее достоверные и полные результаты.</w:t>
      </w:r>
    </w:p>
    <w:p w14:paraId="4A1E68D7" w14:textId="3A3709FB" w:rsidR="00181BC9" w:rsidRPr="00C6661C" w:rsidRDefault="00181BC9" w:rsidP="00181BC9">
      <w:pPr>
        <w:pStyle w:val="af8"/>
      </w:pPr>
      <w:r w:rsidRPr="00C6661C">
        <w:t>Литература</w:t>
      </w:r>
    </w:p>
    <w:p w14:paraId="0BA8EA95" w14:textId="77777777" w:rsidR="00181BC9" w:rsidRDefault="00181BC9" w:rsidP="00181BC9">
      <w:pPr>
        <w:pStyle w:val="a"/>
        <w:tabs>
          <w:tab w:val="clear" w:pos="360"/>
        </w:tabs>
        <w:ind w:left="1287" w:hanging="360"/>
      </w:pPr>
      <w:r>
        <w:t xml:space="preserve">Анищенко, Ю. В. Численное решение и компьютерная реализация прямой и обратной задач уравнения </w:t>
      </w:r>
      <w:proofErr w:type="spellStart"/>
      <w:r>
        <w:t>геоэлектрики</w:t>
      </w:r>
      <w:proofErr w:type="spellEnd"/>
      <w:r>
        <w:t xml:space="preserve"> / Ю. В. Анищенко, А. Д. </w:t>
      </w:r>
      <w:proofErr w:type="spellStart"/>
      <w:r>
        <w:t>Сатыбаев</w:t>
      </w:r>
      <w:proofErr w:type="spellEnd"/>
      <w:r>
        <w:t xml:space="preserve"> // Проблемы автоматики и управления. – 2020. – № 2(39). – С. 72-82.</w:t>
      </w:r>
    </w:p>
    <w:p w14:paraId="6A3C0DE0" w14:textId="77777777" w:rsidR="00181BC9" w:rsidRDefault="00181BC9" w:rsidP="00181BC9">
      <w:pPr>
        <w:pStyle w:val="a"/>
        <w:tabs>
          <w:tab w:val="clear" w:pos="360"/>
        </w:tabs>
        <w:ind w:left="1287" w:hanging="360"/>
      </w:pPr>
      <w:r>
        <w:t xml:space="preserve">Устройства для информационно-управляющей системы по мониторингу масляных силовых трансформаторов / Г. Н. Ниязова, К. </w:t>
      </w:r>
      <w:proofErr w:type="spellStart"/>
      <w:r>
        <w:t>Сатаркулов</w:t>
      </w:r>
      <w:proofErr w:type="spellEnd"/>
      <w:r>
        <w:t xml:space="preserve">, Т. К. Кабаев, Р. А. </w:t>
      </w:r>
      <w:proofErr w:type="spellStart"/>
      <w:r>
        <w:t>Мырзаканова</w:t>
      </w:r>
      <w:proofErr w:type="spellEnd"/>
      <w:r>
        <w:t xml:space="preserve"> // Проблемы автоматики и управления. – 2020. – № 2(39). – С. 43-50.</w:t>
      </w:r>
    </w:p>
    <w:p w14:paraId="1CED299C" w14:textId="77777777" w:rsidR="00181BC9" w:rsidRDefault="00181BC9" w:rsidP="00181BC9">
      <w:pPr>
        <w:pStyle w:val="a"/>
        <w:tabs>
          <w:tab w:val="clear" w:pos="360"/>
        </w:tabs>
        <w:ind w:left="1287" w:hanging="360"/>
      </w:pPr>
      <w:r>
        <w:t>Григорьев, А. Д. Новый волноводный метод измерения параметров диэлектриков / А. Д. Григорьев // Известия высших учебных заведений России. Радиоэлектроника. – 2018. – № 5. – С. 33-38. – DOI 10.32603/1993-8985-2018-21-5-33-38.</w:t>
      </w:r>
    </w:p>
    <w:p w14:paraId="51621A57" w14:textId="77777777" w:rsidR="00181BC9" w:rsidRDefault="00181BC9" w:rsidP="00181BC9">
      <w:pPr>
        <w:pStyle w:val="a"/>
        <w:tabs>
          <w:tab w:val="clear" w:pos="360"/>
        </w:tabs>
        <w:ind w:left="1287" w:hanging="360"/>
      </w:pPr>
      <w:r>
        <w:t>Родионова, О. В. Метод измерения комплексной диэлектрической проницаемости почвогрунтов в широкой полосе частот</w:t>
      </w:r>
      <w:proofErr w:type="gramStart"/>
      <w:r>
        <w:t xml:space="preserve"> :</w:t>
      </w:r>
      <w:proofErr w:type="gramEnd"/>
      <w:r>
        <w:t xml:space="preserve"> специальность 01.04.03 "Радиофизика" : диссертация на соискание ученой степени кандидата физико-математических наук / Родионова Ольга Васильевна. – Томск, 2016. – 136 с. </w:t>
      </w:r>
    </w:p>
    <w:p w14:paraId="3B995F30" w14:textId="77777777" w:rsidR="00181BC9" w:rsidRDefault="00181BC9" w:rsidP="00181BC9">
      <w:pPr>
        <w:pStyle w:val="a"/>
        <w:tabs>
          <w:tab w:val="clear" w:pos="360"/>
        </w:tabs>
        <w:ind w:left="1287" w:hanging="360"/>
      </w:pPr>
      <w:r>
        <w:rPr>
          <w:shd w:val="clear" w:color="auto" w:fill="FFFFFF"/>
        </w:rPr>
        <w:t>Лабораторные исследования радиофизических и диэлектрических свойств минералов и горных пород в микроволновом диапазоне / В. В. Тихонов [и др.]. – Москва</w:t>
      </w:r>
      <w:proofErr w:type="gramStart"/>
      <w:r>
        <w:rPr>
          <w:shd w:val="clear" w:color="auto" w:fill="FFFFFF"/>
        </w:rPr>
        <w:t xml:space="preserve"> :</w:t>
      </w:r>
      <w:proofErr w:type="gramEnd"/>
      <w:r>
        <w:rPr>
          <w:shd w:val="clear" w:color="auto" w:fill="FFFFFF"/>
        </w:rPr>
        <w:t xml:space="preserve"> Учреждение </w:t>
      </w:r>
      <w:proofErr w:type="gramStart"/>
      <w:r>
        <w:rPr>
          <w:shd w:val="clear" w:color="auto" w:fill="FFFFFF"/>
        </w:rPr>
        <w:t>Российской</w:t>
      </w:r>
      <w:proofErr w:type="gramEnd"/>
      <w:r>
        <w:rPr>
          <w:shd w:val="clear" w:color="auto" w:fill="FFFFFF"/>
        </w:rPr>
        <w:t xml:space="preserve"> акад. наук Ин-т космических </w:t>
      </w:r>
      <w:proofErr w:type="spellStart"/>
      <w:r>
        <w:rPr>
          <w:shd w:val="clear" w:color="auto" w:fill="FFFFFF"/>
        </w:rPr>
        <w:t>исслед</w:t>
      </w:r>
      <w:proofErr w:type="spellEnd"/>
      <w:r>
        <w:rPr>
          <w:shd w:val="clear" w:color="auto" w:fill="FFFFFF"/>
        </w:rPr>
        <w:t xml:space="preserve">. РАН (ИКИ РАН), 2011. – 38 с. – (Учреждение Российской академии наук Институт космических исследований РАН/ ИКИ). </w:t>
      </w:r>
    </w:p>
    <w:p w14:paraId="05E57747" w14:textId="77777777" w:rsidR="00181BC9" w:rsidRDefault="00181BC9" w:rsidP="00181BC9">
      <w:pPr>
        <w:pStyle w:val="a"/>
        <w:tabs>
          <w:tab w:val="clear" w:pos="360"/>
        </w:tabs>
        <w:ind w:left="1287" w:hanging="360"/>
      </w:pPr>
      <w:r>
        <w:lastRenderedPageBreak/>
        <w:t xml:space="preserve">Бахтерев, В. В. Первые результаты использования микроволнового излучения для изучения хромитовых руд / В. В. Бахтерев // Уральский геофизический вестник. – 2013. – № 2(22). – С. 13-17. </w:t>
      </w:r>
    </w:p>
    <w:p w14:paraId="4F1D932B" w14:textId="77777777" w:rsidR="00181BC9" w:rsidRDefault="00181BC9" w:rsidP="00181BC9">
      <w:pPr>
        <w:pStyle w:val="a"/>
        <w:tabs>
          <w:tab w:val="clear" w:pos="360"/>
        </w:tabs>
        <w:ind w:left="1287" w:hanging="360"/>
        <w:rPr>
          <w:color w:val="000000" w:themeColor="text1"/>
        </w:rPr>
      </w:pPr>
      <w:r>
        <w:rPr>
          <w:rFonts w:cs="Times New Roman"/>
          <w:color w:val="000000" w:themeColor="text1"/>
          <w:szCs w:val="24"/>
        </w:rPr>
        <w:t xml:space="preserve">Гусев Ю.А. Основы диэлектрической спектроскопии. // Уч. пособие. – 2008. – </w:t>
      </w:r>
      <w:hyperlink r:id="rId22" w:anchor="3" w:history="1">
        <w:r>
          <w:rPr>
            <w:rFonts w:cs="Times New Roman"/>
            <w:szCs w:val="24"/>
          </w:rPr>
          <w:t>https://kpfu.ru/docs/F312491640/gusev_diel_spectrosc.pdf#3</w:t>
        </w:r>
      </w:hyperlink>
    </w:p>
    <w:p w14:paraId="3CA3B130" w14:textId="77777777" w:rsidR="00181BC9" w:rsidRDefault="00181BC9" w:rsidP="00181BC9">
      <w:pPr>
        <w:pStyle w:val="a"/>
        <w:tabs>
          <w:tab w:val="clear" w:pos="360"/>
        </w:tabs>
        <w:ind w:left="1287" w:hanging="360"/>
      </w:pPr>
      <w:bookmarkStart w:id="23" w:name="_Hlk87605854"/>
      <w:r>
        <w:t xml:space="preserve">Иноземцев, М. А. Обзор методов измерения диэлектрической проницаемости горных пород / М. А. Иноземцев // Электронные средства и системы управления. Материалы докладов Международной научно-практической конференции. – 2020. – № 1-1. – С. 279-281. </w:t>
      </w:r>
    </w:p>
    <w:p w14:paraId="6ED14CBC" w14:textId="77777777" w:rsidR="00181BC9" w:rsidRDefault="00181BC9" w:rsidP="00181BC9">
      <w:pPr>
        <w:pStyle w:val="a"/>
        <w:tabs>
          <w:tab w:val="clear" w:pos="360"/>
        </w:tabs>
        <w:ind w:left="1287" w:hanging="360"/>
      </w:pPr>
      <w:r>
        <w:t xml:space="preserve">Брандт А. А. Исследование диэлектриков на сверхвысоких частотах //– М.: Изд-во физ.-мат. лит. - 1963. </w:t>
      </w:r>
      <w:bookmarkStart w:id="24" w:name="_Hlk88214572"/>
      <w:r>
        <w:t>–</w:t>
      </w:r>
      <w:bookmarkEnd w:id="24"/>
      <w:r>
        <w:t xml:space="preserve"> 404  с. </w:t>
      </w:r>
    </w:p>
    <w:bookmarkEnd w:id="23"/>
    <w:p w14:paraId="6E79C161" w14:textId="77777777" w:rsidR="00181BC9" w:rsidRDefault="00181BC9" w:rsidP="00181BC9">
      <w:pPr>
        <w:pStyle w:val="a"/>
        <w:tabs>
          <w:tab w:val="clear" w:pos="360"/>
        </w:tabs>
        <w:ind w:left="1287" w:hanging="360"/>
      </w:pPr>
      <w:proofErr w:type="spellStart"/>
      <w:r>
        <w:rPr>
          <w:shd w:val="clear" w:color="auto" w:fill="FFFFFF"/>
        </w:rPr>
        <w:t>Импедансная</w:t>
      </w:r>
      <w:proofErr w:type="spellEnd"/>
      <w:r>
        <w:rPr>
          <w:shd w:val="clear" w:color="auto" w:fill="FFFFFF"/>
        </w:rPr>
        <w:t xml:space="preserve"> спектроскопия: теория и применение : Рекомендовано методическим советом </w:t>
      </w:r>
      <w:proofErr w:type="spellStart"/>
      <w:r>
        <w:rPr>
          <w:shd w:val="clear" w:color="auto" w:fill="FFFFFF"/>
        </w:rPr>
        <w:t>УрФУ</w:t>
      </w:r>
      <w:proofErr w:type="spellEnd"/>
      <w:r>
        <w:rPr>
          <w:shd w:val="clear" w:color="auto" w:fill="FFFFFF"/>
        </w:rPr>
        <w:t xml:space="preserve"> для студентов, обучающихся по программе специалитета и магистратуры по направлениям подготовки 04.05.01 «Фундаментальная и прикладная химия», 04.04.01 «Химия», 04.04.02 «Химия, физика и механика материалов» / Ю. В. Емельянова, М. В. Морозова, З. А. Михайловская, Е. С. </w:t>
      </w:r>
      <w:proofErr w:type="spellStart"/>
      <w:r>
        <w:rPr>
          <w:shd w:val="clear" w:color="auto" w:fill="FFFFFF"/>
        </w:rPr>
        <w:t>Буянова</w:t>
      </w:r>
      <w:proofErr w:type="spellEnd"/>
      <w:proofErr w:type="gramStart"/>
      <w:r>
        <w:rPr>
          <w:shd w:val="clear" w:color="auto" w:fill="FFFFFF"/>
        </w:rPr>
        <w:t xml:space="preserve"> ;</w:t>
      </w:r>
      <w:proofErr w:type="gramEnd"/>
      <w:r>
        <w:rPr>
          <w:shd w:val="clear" w:color="auto" w:fill="FFFFFF"/>
        </w:rPr>
        <w:t xml:space="preserve"> Министерство образования и науки Российской Федерации, Уральский федеральный университет имени первого Президента России Б.Н. Ельцина. – Екатеринбург</w:t>
      </w:r>
      <w:proofErr w:type="gramStart"/>
      <w:r>
        <w:rPr>
          <w:shd w:val="clear" w:color="auto" w:fill="FFFFFF"/>
        </w:rPr>
        <w:t xml:space="preserve"> :</w:t>
      </w:r>
      <w:proofErr w:type="gramEnd"/>
      <w:r>
        <w:rPr>
          <w:shd w:val="clear" w:color="auto" w:fill="FFFFFF"/>
        </w:rPr>
        <w:t xml:space="preserve"> Уральский федеральный университет имени первого Президента России Б.Н. Ельцина, 2017. – 156 с. – ISBN 978-5-7996-2067-7. </w:t>
      </w:r>
    </w:p>
    <w:p w14:paraId="4FFC9475" w14:textId="77777777" w:rsidR="00181BC9" w:rsidRDefault="00DF7B72" w:rsidP="00181BC9">
      <w:pPr>
        <w:pStyle w:val="a"/>
        <w:tabs>
          <w:tab w:val="clear" w:pos="360"/>
        </w:tabs>
        <w:ind w:left="1287" w:hanging="360"/>
      </w:pPr>
      <w:hyperlink r:id="rId23" w:history="1">
        <w:r w:rsidR="00181BC9">
          <w:rPr>
            <w:rFonts w:cs="Times New Roman"/>
            <w:szCs w:val="24"/>
          </w:rPr>
          <w:t>http://docplayer.net/21632715-Measurement-of-dielectric-material-properties.html</w:t>
        </w:r>
      </w:hyperlink>
    </w:p>
    <w:p w14:paraId="27D82DD6" w14:textId="77777777" w:rsidR="00181BC9" w:rsidRDefault="00181BC9" w:rsidP="00181BC9">
      <w:pPr>
        <w:pStyle w:val="a"/>
        <w:numPr>
          <w:ilvl w:val="0"/>
          <w:numId w:val="0"/>
        </w:numPr>
        <w:ind w:left="927" w:firstLine="360"/>
        <w:rPr>
          <w:rStyle w:val="a4"/>
        </w:rPr>
      </w:pPr>
      <w:r>
        <w:rPr>
          <w:shd w:val="clear" w:color="auto" w:fill="FFFFFF"/>
        </w:rPr>
        <w:t>(Дата обращения: 3.10.21)</w:t>
      </w:r>
    </w:p>
    <w:p w14:paraId="2B6342B6" w14:textId="77777777" w:rsidR="00181BC9" w:rsidRDefault="00181BC9" w:rsidP="00181BC9">
      <w:pPr>
        <w:pStyle w:val="a"/>
        <w:tabs>
          <w:tab w:val="clear" w:pos="360"/>
        </w:tabs>
        <w:ind w:left="1287" w:hanging="360"/>
      </w:pPr>
      <w:r>
        <w:t xml:space="preserve">Моделирование диэлектрических свойств горных пород, содержащих рудные минералы / О. Н. Полякова, В. В. Тихонов, А. Л. Дзарданов [и др.] // Современные проблемы дистанционного зондирования Земли из космоса. – 2009. – Т. 6. – № 2. – С. 62-65. </w:t>
      </w:r>
    </w:p>
    <w:p w14:paraId="1A02FD09" w14:textId="77777777" w:rsidR="00181BC9" w:rsidRDefault="00181BC9" w:rsidP="00181BC9">
      <w:pPr>
        <w:pStyle w:val="a"/>
        <w:tabs>
          <w:tab w:val="clear" w:pos="360"/>
        </w:tabs>
        <w:ind w:left="1287" w:hanging="360"/>
      </w:pPr>
      <w:r>
        <w:t>Волноводный метод измерений электромагнитных параметров материалов в СВЧ диапазоне и оценка погрешности измерений / М. П. Пархоменко, Д. С. Каленов, И. С. Еремин [и др.] // Журнал радиоэлектроники. – 2018. – № 9. – С. 9. – DOI 10.30898/1684-1719.2018.9.6.</w:t>
      </w:r>
    </w:p>
    <w:p w14:paraId="7FB20F98" w14:textId="77777777" w:rsidR="00181BC9" w:rsidRDefault="00181BC9" w:rsidP="00181BC9">
      <w:pPr>
        <w:pStyle w:val="a"/>
        <w:tabs>
          <w:tab w:val="clear" w:pos="360"/>
        </w:tabs>
        <w:ind w:left="1287" w:hanging="360"/>
      </w:pPr>
      <w:proofErr w:type="spellStart"/>
      <w:r>
        <w:t>Молостов</w:t>
      </w:r>
      <w:proofErr w:type="spellEnd"/>
      <w:r>
        <w:t xml:space="preserve">, И. П. Коаксиальная измерительная ячейка для широкополосных измерений диэлектрической проницаемости / И. П. </w:t>
      </w:r>
      <w:proofErr w:type="spellStart"/>
      <w:r>
        <w:t>Молостов</w:t>
      </w:r>
      <w:proofErr w:type="spellEnd"/>
      <w:r>
        <w:t>, В. В. Щербинин // Известия Алтайского государственного университета. – 2015. – № 1-2(85). – С. 56-60. – DOI 10.14258/</w:t>
      </w:r>
      <w:proofErr w:type="spellStart"/>
      <w:r>
        <w:t>izvasu</w:t>
      </w:r>
      <w:proofErr w:type="spellEnd"/>
      <w:r>
        <w:t>(2015)1.2-09.</w:t>
      </w:r>
    </w:p>
    <w:p w14:paraId="6D0D2570" w14:textId="77777777" w:rsidR="00181BC9" w:rsidRPr="00890E8F" w:rsidRDefault="00181BC9" w:rsidP="00181BC9">
      <w:pPr>
        <w:pStyle w:val="a"/>
        <w:tabs>
          <w:tab w:val="clear" w:pos="360"/>
        </w:tabs>
        <w:ind w:left="1287" w:hanging="360"/>
      </w:pPr>
      <w:r>
        <w:t xml:space="preserve">Кулешов, Г. Е. Диэлектрическая проницаемость и электропроводность композиционных материалов на основе углеродных наноструктур / Г. Е. Кулешов, В. И. </w:t>
      </w:r>
      <w:proofErr w:type="spellStart"/>
      <w:r>
        <w:t>Сусляев</w:t>
      </w:r>
      <w:proofErr w:type="spellEnd"/>
      <w:r>
        <w:t xml:space="preserve"> // Доклады Томского государственного университета систем управления и радиоэлектроники. – 2014. – № 1(31). – С. 84-87. </w:t>
      </w:r>
    </w:p>
    <w:p w14:paraId="2C623732" w14:textId="77777777" w:rsidR="00181BC9" w:rsidRDefault="00181BC9" w:rsidP="00181BC9">
      <w:pPr>
        <w:pStyle w:val="a"/>
        <w:tabs>
          <w:tab w:val="clear" w:pos="360"/>
        </w:tabs>
        <w:ind w:left="1287" w:hanging="360"/>
        <w:rPr>
          <w:lang w:val="en-US"/>
        </w:rPr>
      </w:pPr>
      <w:r>
        <w:rPr>
          <w:lang w:val="en-US"/>
        </w:rPr>
        <w:t>Berube, D. A comparative study of four open-ended coaxial probe models for permittivity me asurement of lossy dielec-tric/biological material at microwave frequencies / D. Berube, F. M. Ghannouchi, P. Savard // IEEE Transactions on Microwave Theory and Techniques. – 1996. – V. 44, № 10. – P. 1928–1934.</w:t>
      </w:r>
    </w:p>
    <w:p w14:paraId="4EEC363B" w14:textId="77777777" w:rsidR="00181BC9" w:rsidRDefault="00181BC9" w:rsidP="00181BC9">
      <w:pPr>
        <w:pStyle w:val="a"/>
        <w:tabs>
          <w:tab w:val="clear" w:pos="360"/>
        </w:tabs>
        <w:ind w:left="1287" w:hanging="360"/>
        <w:rPr>
          <w:lang w:val="en-US"/>
        </w:rPr>
      </w:pPr>
      <w:proofErr w:type="spellStart"/>
      <w:r>
        <w:rPr>
          <w:lang w:val="en-US"/>
        </w:rPr>
        <w:t>Roussi</w:t>
      </w:r>
      <w:proofErr w:type="spellEnd"/>
      <w:r>
        <w:rPr>
          <w:lang w:val="en-US"/>
        </w:rPr>
        <w:t xml:space="preserve"> G., Boule P., J. </w:t>
      </w:r>
      <w:proofErr w:type="spellStart"/>
      <w:r>
        <w:rPr>
          <w:lang w:val="en-US"/>
        </w:rPr>
        <w:t>Chim</w:t>
      </w:r>
      <w:proofErr w:type="spellEnd"/>
      <w:r>
        <w:rPr>
          <w:lang w:val="en-US"/>
        </w:rPr>
        <w:t>. Phys., 64, 529 (1965)</w:t>
      </w:r>
    </w:p>
    <w:p w14:paraId="56E950B2" w14:textId="77777777" w:rsidR="00181BC9" w:rsidRDefault="00181BC9" w:rsidP="00181BC9">
      <w:pPr>
        <w:pStyle w:val="a"/>
        <w:tabs>
          <w:tab w:val="clear" w:pos="360"/>
        </w:tabs>
        <w:ind w:left="1287" w:hanging="360"/>
      </w:pPr>
      <w:r>
        <w:t xml:space="preserve">Беляев, Б. А. Применение микрополосковых резонаторов для исследования диэлектрических свойств жидких кристаллов на СВЧ / Б. А. Беляев, Н. А. Дрокин, В. Н. </w:t>
      </w:r>
      <w:proofErr w:type="spellStart"/>
      <w:r>
        <w:t>Шепов</w:t>
      </w:r>
      <w:proofErr w:type="spellEnd"/>
      <w:r>
        <w:t xml:space="preserve"> // Журнал технической физики. – 1995. – Т. 65. – № 2. – С. 189-197.</w:t>
      </w:r>
    </w:p>
    <w:p w14:paraId="4FC99FA5" w14:textId="77777777" w:rsidR="00181BC9" w:rsidRDefault="00181BC9" w:rsidP="00181BC9">
      <w:pPr>
        <w:pStyle w:val="a"/>
        <w:tabs>
          <w:tab w:val="clear" w:pos="360"/>
        </w:tabs>
        <w:ind w:left="1287" w:hanging="360"/>
      </w:pPr>
      <w:r>
        <w:rPr>
          <w:color w:val="000000"/>
          <w:shd w:val="clear" w:color="auto" w:fill="FFFFFF"/>
        </w:rPr>
        <w:t>Доценко, О. А. Использование нерегулярных микрополосковых резонаторов для измерения температурных зависимостей магнитной проницаемости порошков ферритов</w:t>
      </w:r>
      <w:proofErr w:type="gramStart"/>
      <w:r>
        <w:rPr>
          <w:color w:val="000000"/>
          <w:shd w:val="clear" w:color="auto" w:fill="FFFFFF"/>
        </w:rPr>
        <w:t xml:space="preserve"> :</w:t>
      </w:r>
      <w:proofErr w:type="gramEnd"/>
      <w:r>
        <w:rPr>
          <w:color w:val="000000"/>
          <w:shd w:val="clear" w:color="auto" w:fill="FFFFFF"/>
        </w:rPr>
        <w:t xml:space="preserve"> специальность 01.04.03 "Радиофизика" : диссертация на соискание </w:t>
      </w:r>
      <w:r>
        <w:rPr>
          <w:color w:val="000000"/>
          <w:shd w:val="clear" w:color="auto" w:fill="FFFFFF"/>
        </w:rPr>
        <w:lastRenderedPageBreak/>
        <w:t xml:space="preserve">ученой степени кандидата физико-математических наук / Доценко Ольга Александровна. – Томск, 2007. – 115 с. </w:t>
      </w:r>
    </w:p>
    <w:p w14:paraId="04FE54C3" w14:textId="4E76AF7C" w:rsidR="00181BC9" w:rsidRDefault="00181BC9" w:rsidP="00181BC9">
      <w:pPr>
        <w:pStyle w:val="a"/>
        <w:tabs>
          <w:tab w:val="clear" w:pos="360"/>
        </w:tabs>
        <w:ind w:left="1287" w:hanging="360"/>
      </w:pPr>
      <w:r>
        <w:rPr>
          <w:color w:val="000000"/>
          <w:shd w:val="clear" w:color="auto" w:fill="FFFFFF"/>
        </w:rPr>
        <w:t xml:space="preserve">Дрокин, Н. А. </w:t>
      </w:r>
      <w:proofErr w:type="spellStart"/>
      <w:r>
        <w:rPr>
          <w:color w:val="000000"/>
          <w:shd w:val="clear" w:color="auto" w:fill="FFFFFF"/>
        </w:rPr>
        <w:t>Микрополосковые</w:t>
      </w:r>
      <w:proofErr w:type="spellEnd"/>
      <w:r>
        <w:rPr>
          <w:color w:val="000000"/>
          <w:shd w:val="clear" w:color="auto" w:fill="FFFFFF"/>
        </w:rPr>
        <w:t xml:space="preserve"> резонаторы и их применение для исследований диэлектрических свойств жидких кристаллов: специальность 01.04.01 "Приборы и методы экспериментальной физики»: диссертация на соискание ученой степени доктора физико-математических наук / Дрокин Николай Александрович. – Красноярск, 2007. – 304 с. </w:t>
      </w:r>
    </w:p>
    <w:p w14:paraId="2C066BD2" w14:textId="77777777" w:rsidR="00181BC9" w:rsidRDefault="00181BC9" w:rsidP="00181BC9">
      <w:pPr>
        <w:pStyle w:val="a"/>
        <w:tabs>
          <w:tab w:val="clear" w:pos="360"/>
        </w:tabs>
        <w:ind w:left="1287" w:hanging="360"/>
      </w:pPr>
      <w:r>
        <w:t xml:space="preserve">Мищенко С.В., Малков Н.А. Проектирование радиоволновых (СВЧ) приборов неразрушающего контроля материала. // Изд-во </w:t>
      </w:r>
      <w:proofErr w:type="spellStart"/>
      <w:r>
        <w:t>Тамб</w:t>
      </w:r>
      <w:proofErr w:type="spellEnd"/>
      <w:r>
        <w:t>. гос. техн. ун-та. - 2003. - 128 с.</w:t>
      </w:r>
    </w:p>
    <w:p w14:paraId="0D632CDC" w14:textId="77777777" w:rsidR="00181BC9" w:rsidRDefault="00DF7B72" w:rsidP="00181BC9">
      <w:pPr>
        <w:pStyle w:val="a"/>
        <w:tabs>
          <w:tab w:val="clear" w:pos="360"/>
        </w:tabs>
        <w:ind w:left="1287" w:hanging="360"/>
      </w:pPr>
      <w:hyperlink r:id="rId24" w:history="1">
        <w:r w:rsidR="00181BC9">
          <w:rPr>
            <w:rFonts w:cs="Times New Roman"/>
            <w:szCs w:val="24"/>
            <w:lang w:val="en-US"/>
          </w:rPr>
          <w:t>http</w:t>
        </w:r>
        <w:r w:rsidR="00181BC9">
          <w:rPr>
            <w:rFonts w:cs="Times New Roman"/>
            <w:szCs w:val="24"/>
          </w:rPr>
          <w:t>://</w:t>
        </w:r>
        <w:r w:rsidR="00181BC9">
          <w:rPr>
            <w:rFonts w:cs="Times New Roman"/>
            <w:szCs w:val="24"/>
            <w:lang w:val="en-US"/>
          </w:rPr>
          <w:t>window</w:t>
        </w:r>
        <w:r w:rsidR="00181BC9">
          <w:rPr>
            <w:rFonts w:cs="Times New Roman"/>
            <w:szCs w:val="24"/>
          </w:rPr>
          <w:t>.</w:t>
        </w:r>
        <w:r w:rsidR="00181BC9">
          <w:rPr>
            <w:rFonts w:cs="Times New Roman"/>
            <w:szCs w:val="24"/>
            <w:lang w:val="en-US"/>
          </w:rPr>
          <w:t>edu</w:t>
        </w:r>
        <w:r w:rsidR="00181BC9">
          <w:rPr>
            <w:rFonts w:cs="Times New Roman"/>
            <w:szCs w:val="24"/>
          </w:rPr>
          <w:t>.</w:t>
        </w:r>
        <w:r w:rsidR="00181BC9">
          <w:rPr>
            <w:rFonts w:cs="Times New Roman"/>
            <w:szCs w:val="24"/>
            <w:lang w:val="en-US"/>
          </w:rPr>
          <w:t>ru</w:t>
        </w:r>
        <w:r w:rsidR="00181BC9">
          <w:rPr>
            <w:rFonts w:cs="Times New Roman"/>
            <w:szCs w:val="24"/>
          </w:rPr>
          <w:t>/</w:t>
        </w:r>
        <w:r w:rsidR="00181BC9">
          <w:rPr>
            <w:rFonts w:cs="Times New Roman"/>
            <w:szCs w:val="24"/>
            <w:lang w:val="en-US"/>
          </w:rPr>
          <w:t>catalog</w:t>
        </w:r>
        <w:r w:rsidR="00181BC9">
          <w:rPr>
            <w:rFonts w:cs="Times New Roman"/>
            <w:szCs w:val="24"/>
          </w:rPr>
          <w:t>/</w:t>
        </w:r>
        <w:r w:rsidR="00181BC9">
          <w:rPr>
            <w:rFonts w:cs="Times New Roman"/>
            <w:szCs w:val="24"/>
            <w:lang w:val="en-US"/>
          </w:rPr>
          <w:t>pdf</w:t>
        </w:r>
        <w:r w:rsidR="00181BC9">
          <w:rPr>
            <w:rFonts w:cs="Times New Roman"/>
            <w:szCs w:val="24"/>
          </w:rPr>
          <w:t>2</w:t>
        </w:r>
        <w:r w:rsidR="00181BC9">
          <w:rPr>
            <w:rFonts w:cs="Times New Roman"/>
            <w:szCs w:val="24"/>
            <w:lang w:val="en-US"/>
          </w:rPr>
          <w:t>txt</w:t>
        </w:r>
        <w:r w:rsidR="00181BC9">
          <w:rPr>
            <w:rFonts w:cs="Times New Roman"/>
            <w:szCs w:val="24"/>
          </w:rPr>
          <w:t>/747/21747/4960</w:t>
        </w:r>
      </w:hyperlink>
      <w:r w:rsidR="00181BC9">
        <w:t xml:space="preserve"> (Дата обращения: 8.10.21)</w:t>
      </w:r>
    </w:p>
    <w:p w14:paraId="30BCB808" w14:textId="77777777" w:rsidR="00181BC9" w:rsidRDefault="00181BC9" w:rsidP="00181BC9">
      <w:pPr>
        <w:pStyle w:val="a"/>
        <w:tabs>
          <w:tab w:val="clear" w:pos="360"/>
        </w:tabs>
        <w:ind w:left="1287" w:hanging="360"/>
        <w:rPr>
          <w:lang w:val="en-US"/>
        </w:rPr>
      </w:pPr>
      <w:proofErr w:type="spellStart"/>
      <w:r>
        <w:rPr>
          <w:lang w:val="en-US"/>
        </w:rPr>
        <w:t>Bogosanovich</w:t>
      </w:r>
      <w:proofErr w:type="spellEnd"/>
      <w:r>
        <w:rPr>
          <w:lang w:val="en-US"/>
        </w:rPr>
        <w:t xml:space="preserve"> M. [et all].  A comparison of systems for non-contact and non-destructive natural product inspection // Fifth International Conference on Electromagnetic Wave Interaction with Water and Moist Substances New Zealand. – 2003. – P. 15-23.</w:t>
      </w:r>
    </w:p>
    <w:p w14:paraId="52ECE904" w14:textId="77777777" w:rsidR="00181BC9" w:rsidRPr="00890E8F" w:rsidRDefault="00DF7B72" w:rsidP="00181BC9">
      <w:pPr>
        <w:pStyle w:val="a"/>
        <w:tabs>
          <w:tab w:val="clear" w:pos="360"/>
        </w:tabs>
        <w:ind w:left="1287" w:hanging="360"/>
        <w:rPr>
          <w:lang w:val="en-US"/>
        </w:rPr>
      </w:pPr>
      <w:hyperlink r:id="rId25" w:history="1">
        <w:r w:rsidR="00181BC9">
          <w:rPr>
            <w:rFonts w:cs="Times New Roman"/>
            <w:szCs w:val="24"/>
            <w:lang w:val="en-US"/>
          </w:rPr>
          <w:t>https://knowledge.allbest.ru/radio/3c0b65635b3ad78b4c43b89521316c37_0.html</w:t>
        </w:r>
      </w:hyperlink>
    </w:p>
    <w:p w14:paraId="65B41DAF" w14:textId="77777777" w:rsidR="00181BC9" w:rsidRDefault="00181BC9" w:rsidP="00181BC9">
      <w:pPr>
        <w:pStyle w:val="a"/>
        <w:numPr>
          <w:ilvl w:val="0"/>
          <w:numId w:val="0"/>
        </w:numPr>
        <w:ind w:left="1287"/>
        <w:rPr>
          <w:rFonts w:cs="Times New Roman"/>
          <w:szCs w:val="24"/>
        </w:rPr>
      </w:pPr>
      <w:r>
        <w:rPr>
          <w:rFonts w:cs="Times New Roman"/>
          <w:szCs w:val="24"/>
        </w:rPr>
        <w:t>(Дата обращения: 15.10.21)</w:t>
      </w:r>
    </w:p>
    <w:p w14:paraId="0AC76433" w14:textId="77777777" w:rsidR="00036090" w:rsidRDefault="00036090"/>
    <w:sectPr w:rsidR="00036090" w:rsidSect="00EF0EFC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Wingdings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charset w:val="CC"/>
    <w:family w:val="swiss"/>
    <w:pitch w:val="variable"/>
    <w:sig w:usb0="E4002EFF" w:usb1="C000247B" w:usb2="00000009" w:usb3="00000000" w:csb0="000001FF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E7528CC"/>
    <w:multiLevelType w:val="hybridMultilevel"/>
    <w:tmpl w:val="1D849DE4"/>
    <w:lvl w:ilvl="0" w:tplc="102CCDAE">
      <w:start w:val="1"/>
      <w:numFmt w:val="decimal"/>
      <w:pStyle w:val="a"/>
      <w:lvlText w:val="%1."/>
      <w:lvlJc w:val="left"/>
      <w:pPr>
        <w:ind w:left="128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">
    <w:nsid w:val="4F0C3BB6"/>
    <w:multiLevelType w:val="hybridMultilevel"/>
    <w:tmpl w:val="03845040"/>
    <w:lvl w:ilvl="0" w:tplc="0419000B">
      <w:start w:val="1"/>
      <w:numFmt w:val="bullet"/>
      <w:lvlText w:val=""/>
      <w:lvlJc w:val="left"/>
      <w:pPr>
        <w:ind w:left="128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81BC9"/>
    <w:rsid w:val="00036090"/>
    <w:rsid w:val="001542E6"/>
    <w:rsid w:val="00181BC9"/>
    <w:rsid w:val="00475E8E"/>
    <w:rsid w:val="00702A4A"/>
    <w:rsid w:val="00DF7B72"/>
    <w:rsid w:val="00EB4B28"/>
    <w:rsid w:val="00EF0EFC"/>
    <w:rsid w:val="00F556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x-none" w:bidi="x-non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FC7E6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/>
    <w:lsdException w:name="heading 2" w:uiPriority="9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/>
    <w:lsdException w:name="Default Paragraph Font" w:uiPriority="1"/>
    <w:lsdException w:name="Subtitle" w:semiHidden="0" w:uiPriority="11" w:unhideWhenUsed="0" w:qFormat="1"/>
    <w:lsdException w:name="Strong" w:semiHidden="0" w:uiPriority="22" w:unhideWhenUsed="0"/>
    <w:lsdException w:name="Emphasis" w:semiHidden="0" w:uiPriority="20" w:unhideWhenUsed="0" w:qFormat="1"/>
    <w:lsdException w:name="Normal Table" w:semiHidden="0" w:unhideWhenUsed="0"/>
    <w:lsdException w:name="Table Web 3" w:semiHidden="0" w:unhideWhenUsed="0"/>
    <w:lsdException w:name="Table Grid" w:semiHidden="0" w:uiPriority="39" w:unhideWhenUsed="0"/>
    <w:lsdException w:name="Table Theme" w:semiHidden="0" w:unhideWhenUsed="0"/>
    <w:lsdException w:name="Placeholder Text" w:unhideWhenUsed="0"/>
    <w:lsdException w:name="No Spacing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/>
    <w:lsdException w:name="Quote" w:semiHidden="0" w:uiPriority="29" w:unhideWhenUsed="0"/>
    <w:lsdException w:name="Intense Quote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/>
    <w:lsdException w:name="Intense Emphasis" w:semiHidden="0" w:uiPriority="21" w:unhideWhenUsed="0"/>
    <w:lsdException w:name="Subtle Reference" w:semiHidden="0" w:uiPriority="31" w:unhideWhenUsed="0"/>
    <w:lsdException w:name="Intense Reference" w:semiHidden="0" w:uiPriority="32" w:unhideWhenUsed="0"/>
    <w:lsdException w:name="Book Title" w:semiHidden="0" w:uiPriority="33" w:unhideWhenUsed="0"/>
    <w:lsdException w:name="Bibliography" w:uiPriority="37"/>
    <w:lsdException w:name="TOC Heading" w:uiPriority="39" w:qFormat="1"/>
  </w:latentStyles>
  <w:style w:type="paragraph" w:default="1" w:styleId="a0">
    <w:name w:val="Normal"/>
    <w:rsid w:val="00EF0EFC"/>
    <w:pPr>
      <w:spacing w:after="0" w:line="240" w:lineRule="auto"/>
      <w:ind w:firstLine="567"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1">
    <w:name w:val="heading 1"/>
    <w:basedOn w:val="a0"/>
    <w:next w:val="a0"/>
    <w:link w:val="10"/>
    <w:uiPriority w:val="9"/>
    <w:rsid w:val="00702A4A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styleId="a4">
    <w:name w:val="Emphasis"/>
    <w:uiPriority w:val="20"/>
    <w:rsid w:val="00181BC9"/>
    <w:rPr>
      <w:i/>
      <w:iCs/>
    </w:rPr>
  </w:style>
  <w:style w:type="paragraph" w:customStyle="1" w:styleId="a5">
    <w:name w:val="Б_Рисунок_"/>
    <w:basedOn w:val="a0"/>
    <w:rsid w:val="00181BC9"/>
    <w:pPr>
      <w:spacing w:after="240" w:line="276" w:lineRule="auto"/>
      <w:jc w:val="center"/>
    </w:pPr>
    <w:rPr>
      <w:rFonts w:eastAsia="Calibri"/>
      <w:szCs w:val="24"/>
      <w:lang w:eastAsia="en-US"/>
    </w:rPr>
  </w:style>
  <w:style w:type="table" w:customStyle="1" w:styleId="11">
    <w:name w:val="Сетка таблицы11"/>
    <w:basedOn w:val="a2"/>
    <w:next w:val="a6"/>
    <w:uiPriority w:val="39"/>
    <w:rsid w:val="00181BC9"/>
    <w:pPr>
      <w:spacing w:after="0" w:line="240" w:lineRule="auto"/>
    </w:pPr>
    <w:rPr>
      <w:rFonts w:ascii="Calibri" w:eastAsia="Calibri" w:hAnsi="Calibri" w:cs="Times New Roman"/>
      <w:lang w:val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7">
    <w:name w:val="УДК"/>
    <w:basedOn w:val="a0"/>
    <w:qFormat/>
    <w:rsid w:val="00181BC9"/>
    <w:pPr>
      <w:spacing w:after="120"/>
    </w:pPr>
    <w:rPr>
      <w:rFonts w:eastAsiaTheme="minorHAnsi"/>
      <w:szCs w:val="24"/>
      <w:lang w:eastAsia="en-US"/>
    </w:rPr>
  </w:style>
  <w:style w:type="paragraph" w:customStyle="1" w:styleId="a8">
    <w:name w:val="Название статьи"/>
    <w:basedOn w:val="a0"/>
    <w:qFormat/>
    <w:rsid w:val="00181BC9"/>
    <w:pPr>
      <w:spacing w:before="120" w:after="120"/>
      <w:ind w:left="567"/>
      <w:jc w:val="center"/>
    </w:pPr>
    <w:rPr>
      <w:rFonts w:eastAsiaTheme="minorHAnsi"/>
      <w:b/>
      <w:caps/>
      <w:szCs w:val="28"/>
      <w:lang w:eastAsia="en-US"/>
    </w:rPr>
  </w:style>
  <w:style w:type="paragraph" w:customStyle="1" w:styleId="a9">
    <w:name w:val="Авторы"/>
    <w:basedOn w:val="a0"/>
    <w:qFormat/>
    <w:rsid w:val="00475E8E"/>
    <w:pPr>
      <w:ind w:left="1134" w:firstLine="0"/>
      <w:jc w:val="left"/>
    </w:pPr>
    <w:rPr>
      <w:rFonts w:eastAsiaTheme="minorHAnsi"/>
      <w:i/>
      <w:szCs w:val="24"/>
      <w:lang w:eastAsia="en-US"/>
    </w:rPr>
  </w:style>
  <w:style w:type="paragraph" w:customStyle="1" w:styleId="aa">
    <w:name w:val="Место работы"/>
    <w:basedOn w:val="a0"/>
    <w:qFormat/>
    <w:rsid w:val="00181BC9"/>
    <w:pPr>
      <w:ind w:left="1134" w:firstLine="0"/>
      <w:jc w:val="left"/>
    </w:pPr>
    <w:rPr>
      <w:rFonts w:eastAsiaTheme="minorHAnsi"/>
      <w:i/>
      <w:szCs w:val="24"/>
      <w:lang w:eastAsia="en-US"/>
    </w:rPr>
  </w:style>
  <w:style w:type="paragraph" w:customStyle="1" w:styleId="ab">
    <w:name w:val="Аннотация"/>
    <w:basedOn w:val="a0"/>
    <w:qFormat/>
    <w:rsid w:val="00181BC9"/>
    <w:pPr>
      <w:spacing w:before="120" w:after="120"/>
      <w:ind w:left="567" w:firstLine="0"/>
    </w:pPr>
    <w:rPr>
      <w:sz w:val="20"/>
    </w:rPr>
  </w:style>
  <w:style w:type="paragraph" w:customStyle="1" w:styleId="ac">
    <w:name w:val="Ключевые слова"/>
    <w:basedOn w:val="a0"/>
    <w:link w:val="ad"/>
    <w:qFormat/>
    <w:rsid w:val="00181BC9"/>
    <w:pPr>
      <w:spacing w:after="120"/>
      <w:ind w:left="567" w:firstLine="0"/>
    </w:pPr>
    <w:rPr>
      <w:rFonts w:eastAsiaTheme="minorHAnsi"/>
      <w:szCs w:val="24"/>
      <w:lang w:eastAsia="en-US" w:bidi="ru-RU"/>
    </w:rPr>
  </w:style>
  <w:style w:type="paragraph" w:customStyle="1" w:styleId="ae">
    <w:name w:val="Ключ. слово"/>
    <w:basedOn w:val="ac"/>
    <w:link w:val="af"/>
    <w:qFormat/>
    <w:rsid w:val="00181BC9"/>
    <w:rPr>
      <w:b/>
      <w:i/>
    </w:rPr>
  </w:style>
  <w:style w:type="paragraph" w:customStyle="1" w:styleId="af0">
    <w:name w:val="Формула"/>
    <w:basedOn w:val="a0"/>
    <w:qFormat/>
    <w:rsid w:val="00181BC9"/>
    <w:pPr>
      <w:tabs>
        <w:tab w:val="left" w:pos="3686"/>
        <w:tab w:val="left" w:pos="8931"/>
      </w:tabs>
      <w:spacing w:before="120" w:after="120"/>
      <w:contextualSpacing/>
    </w:pPr>
    <w:rPr>
      <w:rFonts w:eastAsiaTheme="minorEastAsia" w:cstheme="minorBidi"/>
      <w:szCs w:val="22"/>
    </w:rPr>
  </w:style>
  <w:style w:type="character" w:customStyle="1" w:styleId="ad">
    <w:name w:val="Ключевые слова Знак"/>
    <w:basedOn w:val="a1"/>
    <w:link w:val="ac"/>
    <w:rsid w:val="00181BC9"/>
    <w:rPr>
      <w:rFonts w:ascii="Times New Roman" w:hAnsi="Times New Roman" w:cs="Times New Roman"/>
      <w:sz w:val="24"/>
      <w:szCs w:val="24"/>
      <w:lang w:bidi="ru-RU"/>
    </w:rPr>
  </w:style>
  <w:style w:type="character" w:customStyle="1" w:styleId="af">
    <w:name w:val="Ключ. слово Знак"/>
    <w:basedOn w:val="ad"/>
    <w:link w:val="ae"/>
    <w:rsid w:val="00181BC9"/>
    <w:rPr>
      <w:rFonts w:ascii="Times New Roman" w:hAnsi="Times New Roman" w:cs="Times New Roman"/>
      <w:b/>
      <w:i/>
      <w:sz w:val="24"/>
      <w:szCs w:val="24"/>
      <w:lang w:bidi="ru-RU"/>
    </w:rPr>
  </w:style>
  <w:style w:type="paragraph" w:customStyle="1" w:styleId="a">
    <w:name w:val="Список источников"/>
    <w:basedOn w:val="af1"/>
    <w:qFormat/>
    <w:rsid w:val="00475E8E"/>
    <w:pPr>
      <w:numPr>
        <w:numId w:val="1"/>
      </w:numPr>
      <w:tabs>
        <w:tab w:val="num" w:pos="360"/>
      </w:tabs>
      <w:ind w:left="720" w:firstLine="567"/>
    </w:pPr>
    <w:rPr>
      <w:rFonts w:eastAsiaTheme="minorHAnsi" w:cstheme="minorBidi"/>
      <w:szCs w:val="22"/>
      <w:lang w:eastAsia="en-US" w:bidi="ru-RU"/>
    </w:rPr>
  </w:style>
  <w:style w:type="paragraph" w:customStyle="1" w:styleId="af2">
    <w:name w:val="Рисунок"/>
    <w:basedOn w:val="a0"/>
    <w:qFormat/>
    <w:rsid w:val="00181BC9"/>
    <w:pPr>
      <w:spacing w:before="120" w:after="120" w:line="276" w:lineRule="auto"/>
      <w:contextualSpacing/>
      <w:jc w:val="center"/>
    </w:pPr>
    <w:rPr>
      <w:rFonts w:eastAsiaTheme="minorHAnsi" w:cstheme="minorBidi"/>
      <w:noProof/>
      <w:szCs w:val="22"/>
      <w:lang w:val="en-US"/>
    </w:rPr>
  </w:style>
  <w:style w:type="paragraph" w:styleId="af3">
    <w:name w:val="Subtitle"/>
    <w:basedOn w:val="a0"/>
    <w:next w:val="a0"/>
    <w:link w:val="af4"/>
    <w:uiPriority w:val="11"/>
    <w:qFormat/>
    <w:rsid w:val="00EB4B28"/>
    <w:pPr>
      <w:numPr>
        <w:ilvl w:val="1"/>
      </w:numPr>
      <w:spacing w:before="120" w:line="276" w:lineRule="auto"/>
      <w:ind w:firstLine="567"/>
    </w:pPr>
    <w:rPr>
      <w:rFonts w:eastAsiaTheme="majorEastAsia" w:cstheme="majorBidi"/>
      <w:b/>
      <w:iCs/>
      <w:spacing w:val="15"/>
      <w:szCs w:val="24"/>
      <w:lang w:eastAsia="en-US"/>
    </w:rPr>
  </w:style>
  <w:style w:type="character" w:customStyle="1" w:styleId="af4">
    <w:name w:val="Подзаголовок Знак"/>
    <w:basedOn w:val="a1"/>
    <w:link w:val="af3"/>
    <w:uiPriority w:val="11"/>
    <w:rsid w:val="00EB4B28"/>
    <w:rPr>
      <w:rFonts w:ascii="Times New Roman" w:eastAsiaTheme="majorEastAsia" w:hAnsi="Times New Roman" w:cstheme="majorBidi"/>
      <w:b/>
      <w:iCs/>
      <w:spacing w:val="15"/>
      <w:sz w:val="24"/>
      <w:szCs w:val="24"/>
    </w:rPr>
  </w:style>
  <w:style w:type="paragraph" w:customStyle="1" w:styleId="af5">
    <w:name w:val="Раздел"/>
    <w:basedOn w:val="a0"/>
    <w:qFormat/>
    <w:rsid w:val="00181BC9"/>
    <w:pPr>
      <w:spacing w:line="276" w:lineRule="auto"/>
      <w:jc w:val="center"/>
    </w:pPr>
    <w:rPr>
      <w:b/>
      <w:bCs/>
      <w:szCs w:val="28"/>
    </w:rPr>
  </w:style>
  <w:style w:type="paragraph" w:customStyle="1" w:styleId="af6">
    <w:name w:val="Название таблицы"/>
    <w:basedOn w:val="a0"/>
    <w:qFormat/>
    <w:rsid w:val="00181BC9"/>
    <w:pPr>
      <w:spacing w:before="120"/>
      <w:jc w:val="right"/>
    </w:pPr>
  </w:style>
  <w:style w:type="paragraph" w:customStyle="1" w:styleId="af7">
    <w:name w:val="Текст таблицы"/>
    <w:basedOn w:val="a0"/>
    <w:qFormat/>
    <w:rsid w:val="00181BC9"/>
    <w:pPr>
      <w:ind w:firstLine="0"/>
    </w:pPr>
    <w:rPr>
      <w:sz w:val="20"/>
    </w:rPr>
  </w:style>
  <w:style w:type="paragraph" w:customStyle="1" w:styleId="af8">
    <w:name w:val="Литерат. заголов."/>
    <w:basedOn w:val="af3"/>
    <w:qFormat/>
    <w:rsid w:val="00181BC9"/>
    <w:rPr>
      <w:i/>
      <w:iCs w:val="0"/>
    </w:rPr>
  </w:style>
  <w:style w:type="table" w:styleId="a6">
    <w:name w:val="Table Grid"/>
    <w:basedOn w:val="a2"/>
    <w:uiPriority w:val="39"/>
    <w:rsid w:val="00181BC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1">
    <w:name w:val="List Paragraph"/>
    <w:basedOn w:val="a0"/>
    <w:uiPriority w:val="34"/>
    <w:rsid w:val="00181BC9"/>
    <w:pPr>
      <w:ind w:left="720"/>
      <w:contextualSpacing/>
    </w:pPr>
  </w:style>
  <w:style w:type="character" w:customStyle="1" w:styleId="10">
    <w:name w:val="Заголовок 1 Знак"/>
    <w:basedOn w:val="a1"/>
    <w:link w:val="1"/>
    <w:uiPriority w:val="9"/>
    <w:rsid w:val="00702A4A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ru-RU"/>
    </w:rPr>
  </w:style>
  <w:style w:type="character" w:styleId="af9">
    <w:name w:val="Hyperlink"/>
    <w:basedOn w:val="a1"/>
    <w:uiPriority w:val="99"/>
    <w:unhideWhenUsed/>
    <w:rsid w:val="00DF7B72"/>
    <w:rPr>
      <w:color w:val="0563C1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/>
    <w:lsdException w:name="heading 2" w:uiPriority="9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/>
    <w:lsdException w:name="Default Paragraph Font" w:uiPriority="1"/>
    <w:lsdException w:name="Subtitle" w:semiHidden="0" w:uiPriority="11" w:unhideWhenUsed="0" w:qFormat="1"/>
    <w:lsdException w:name="Strong" w:semiHidden="0" w:uiPriority="22" w:unhideWhenUsed="0"/>
    <w:lsdException w:name="Emphasis" w:semiHidden="0" w:uiPriority="20" w:unhideWhenUsed="0" w:qFormat="1"/>
    <w:lsdException w:name="Normal Table" w:semiHidden="0" w:unhideWhenUsed="0"/>
    <w:lsdException w:name="Table Web 3" w:semiHidden="0" w:unhideWhenUsed="0"/>
    <w:lsdException w:name="Table Grid" w:semiHidden="0" w:uiPriority="39" w:unhideWhenUsed="0"/>
    <w:lsdException w:name="Table Theme" w:semiHidden="0" w:unhideWhenUsed="0"/>
    <w:lsdException w:name="Placeholder Text" w:unhideWhenUsed="0"/>
    <w:lsdException w:name="No Spacing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/>
    <w:lsdException w:name="Quote" w:semiHidden="0" w:uiPriority="29" w:unhideWhenUsed="0"/>
    <w:lsdException w:name="Intense Quote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/>
    <w:lsdException w:name="Intense Emphasis" w:semiHidden="0" w:uiPriority="21" w:unhideWhenUsed="0"/>
    <w:lsdException w:name="Subtle Reference" w:semiHidden="0" w:uiPriority="31" w:unhideWhenUsed="0"/>
    <w:lsdException w:name="Intense Reference" w:semiHidden="0" w:uiPriority="32" w:unhideWhenUsed="0"/>
    <w:lsdException w:name="Book Title" w:semiHidden="0" w:uiPriority="33" w:unhideWhenUsed="0"/>
    <w:lsdException w:name="Bibliography" w:uiPriority="37"/>
    <w:lsdException w:name="TOC Heading" w:uiPriority="39" w:qFormat="1"/>
  </w:latentStyles>
  <w:style w:type="paragraph" w:default="1" w:styleId="a0">
    <w:name w:val="Normal"/>
    <w:rsid w:val="00EF0EFC"/>
    <w:pPr>
      <w:spacing w:after="0" w:line="240" w:lineRule="auto"/>
      <w:ind w:firstLine="567"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1">
    <w:name w:val="heading 1"/>
    <w:basedOn w:val="a0"/>
    <w:next w:val="a0"/>
    <w:link w:val="10"/>
    <w:uiPriority w:val="9"/>
    <w:rsid w:val="00702A4A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styleId="a4">
    <w:name w:val="Emphasis"/>
    <w:uiPriority w:val="20"/>
    <w:rsid w:val="00181BC9"/>
    <w:rPr>
      <w:i/>
      <w:iCs/>
    </w:rPr>
  </w:style>
  <w:style w:type="paragraph" w:customStyle="1" w:styleId="a5">
    <w:name w:val="Б_Рисунок_"/>
    <w:basedOn w:val="a0"/>
    <w:rsid w:val="00181BC9"/>
    <w:pPr>
      <w:spacing w:after="240" w:line="276" w:lineRule="auto"/>
      <w:jc w:val="center"/>
    </w:pPr>
    <w:rPr>
      <w:rFonts w:eastAsia="Calibri"/>
      <w:szCs w:val="24"/>
      <w:lang w:eastAsia="en-US"/>
    </w:rPr>
  </w:style>
  <w:style w:type="table" w:customStyle="1" w:styleId="11">
    <w:name w:val="Сетка таблицы11"/>
    <w:basedOn w:val="a2"/>
    <w:next w:val="a6"/>
    <w:uiPriority w:val="39"/>
    <w:rsid w:val="00181BC9"/>
    <w:pPr>
      <w:spacing w:after="0" w:line="240" w:lineRule="auto"/>
    </w:pPr>
    <w:rPr>
      <w:rFonts w:ascii="Calibri" w:eastAsia="Calibri" w:hAnsi="Calibri" w:cs="Times New Roman"/>
      <w:lang w:val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7">
    <w:name w:val="УДК"/>
    <w:basedOn w:val="a0"/>
    <w:qFormat/>
    <w:rsid w:val="00181BC9"/>
    <w:pPr>
      <w:spacing w:after="120"/>
    </w:pPr>
    <w:rPr>
      <w:rFonts w:eastAsiaTheme="minorHAnsi"/>
      <w:szCs w:val="24"/>
      <w:lang w:eastAsia="en-US"/>
    </w:rPr>
  </w:style>
  <w:style w:type="paragraph" w:customStyle="1" w:styleId="a8">
    <w:name w:val="Название статьи"/>
    <w:basedOn w:val="a0"/>
    <w:qFormat/>
    <w:rsid w:val="00181BC9"/>
    <w:pPr>
      <w:spacing w:before="120" w:after="120"/>
      <w:ind w:left="567"/>
      <w:jc w:val="center"/>
    </w:pPr>
    <w:rPr>
      <w:rFonts w:eastAsiaTheme="minorHAnsi"/>
      <w:b/>
      <w:caps/>
      <w:szCs w:val="28"/>
      <w:lang w:eastAsia="en-US"/>
    </w:rPr>
  </w:style>
  <w:style w:type="paragraph" w:customStyle="1" w:styleId="a9">
    <w:name w:val="Авторы"/>
    <w:basedOn w:val="a0"/>
    <w:qFormat/>
    <w:rsid w:val="00475E8E"/>
    <w:pPr>
      <w:ind w:left="1134" w:firstLine="0"/>
      <w:jc w:val="left"/>
    </w:pPr>
    <w:rPr>
      <w:rFonts w:eastAsiaTheme="minorHAnsi"/>
      <w:i/>
      <w:szCs w:val="24"/>
      <w:lang w:eastAsia="en-US"/>
    </w:rPr>
  </w:style>
  <w:style w:type="paragraph" w:customStyle="1" w:styleId="aa">
    <w:name w:val="Место работы"/>
    <w:basedOn w:val="a0"/>
    <w:qFormat/>
    <w:rsid w:val="00181BC9"/>
    <w:pPr>
      <w:ind w:left="1134" w:firstLine="0"/>
      <w:jc w:val="left"/>
    </w:pPr>
    <w:rPr>
      <w:rFonts w:eastAsiaTheme="minorHAnsi"/>
      <w:i/>
      <w:szCs w:val="24"/>
      <w:lang w:eastAsia="en-US"/>
    </w:rPr>
  </w:style>
  <w:style w:type="paragraph" w:customStyle="1" w:styleId="ab">
    <w:name w:val="Аннотация"/>
    <w:basedOn w:val="a0"/>
    <w:qFormat/>
    <w:rsid w:val="00181BC9"/>
    <w:pPr>
      <w:spacing w:before="120" w:after="120"/>
      <w:ind w:left="567" w:firstLine="0"/>
    </w:pPr>
    <w:rPr>
      <w:sz w:val="20"/>
    </w:rPr>
  </w:style>
  <w:style w:type="paragraph" w:customStyle="1" w:styleId="ac">
    <w:name w:val="Ключевые слова"/>
    <w:basedOn w:val="a0"/>
    <w:link w:val="ad"/>
    <w:qFormat/>
    <w:rsid w:val="00181BC9"/>
    <w:pPr>
      <w:spacing w:after="120"/>
      <w:ind w:left="567" w:firstLine="0"/>
    </w:pPr>
    <w:rPr>
      <w:rFonts w:eastAsiaTheme="minorHAnsi"/>
      <w:szCs w:val="24"/>
      <w:lang w:eastAsia="en-US" w:bidi="ru-RU"/>
    </w:rPr>
  </w:style>
  <w:style w:type="paragraph" w:customStyle="1" w:styleId="ae">
    <w:name w:val="Ключ. слово"/>
    <w:basedOn w:val="ac"/>
    <w:link w:val="af"/>
    <w:qFormat/>
    <w:rsid w:val="00181BC9"/>
    <w:rPr>
      <w:b/>
      <w:i/>
    </w:rPr>
  </w:style>
  <w:style w:type="paragraph" w:customStyle="1" w:styleId="af0">
    <w:name w:val="Формула"/>
    <w:basedOn w:val="a0"/>
    <w:qFormat/>
    <w:rsid w:val="00181BC9"/>
    <w:pPr>
      <w:tabs>
        <w:tab w:val="left" w:pos="3686"/>
        <w:tab w:val="left" w:pos="8931"/>
      </w:tabs>
      <w:spacing w:before="120" w:after="120"/>
      <w:contextualSpacing/>
    </w:pPr>
    <w:rPr>
      <w:rFonts w:eastAsiaTheme="minorEastAsia" w:cstheme="minorBidi"/>
      <w:szCs w:val="22"/>
    </w:rPr>
  </w:style>
  <w:style w:type="character" w:customStyle="1" w:styleId="ad">
    <w:name w:val="Ключевые слова Знак"/>
    <w:basedOn w:val="a1"/>
    <w:link w:val="ac"/>
    <w:rsid w:val="00181BC9"/>
    <w:rPr>
      <w:rFonts w:ascii="Times New Roman" w:hAnsi="Times New Roman" w:cs="Times New Roman"/>
      <w:sz w:val="24"/>
      <w:szCs w:val="24"/>
      <w:lang w:bidi="ru-RU"/>
    </w:rPr>
  </w:style>
  <w:style w:type="character" w:customStyle="1" w:styleId="af">
    <w:name w:val="Ключ. слово Знак"/>
    <w:basedOn w:val="ad"/>
    <w:link w:val="ae"/>
    <w:rsid w:val="00181BC9"/>
    <w:rPr>
      <w:rFonts w:ascii="Times New Roman" w:hAnsi="Times New Roman" w:cs="Times New Roman"/>
      <w:b/>
      <w:i/>
      <w:sz w:val="24"/>
      <w:szCs w:val="24"/>
      <w:lang w:bidi="ru-RU"/>
    </w:rPr>
  </w:style>
  <w:style w:type="paragraph" w:customStyle="1" w:styleId="a">
    <w:name w:val="Список источников"/>
    <w:basedOn w:val="af1"/>
    <w:qFormat/>
    <w:rsid w:val="00475E8E"/>
    <w:pPr>
      <w:numPr>
        <w:numId w:val="1"/>
      </w:numPr>
      <w:tabs>
        <w:tab w:val="num" w:pos="360"/>
      </w:tabs>
      <w:ind w:left="720" w:firstLine="567"/>
    </w:pPr>
    <w:rPr>
      <w:rFonts w:eastAsiaTheme="minorHAnsi" w:cstheme="minorBidi"/>
      <w:szCs w:val="22"/>
      <w:lang w:eastAsia="en-US" w:bidi="ru-RU"/>
    </w:rPr>
  </w:style>
  <w:style w:type="paragraph" w:customStyle="1" w:styleId="af2">
    <w:name w:val="Рисунок"/>
    <w:basedOn w:val="a0"/>
    <w:qFormat/>
    <w:rsid w:val="00181BC9"/>
    <w:pPr>
      <w:spacing w:before="120" w:after="120" w:line="276" w:lineRule="auto"/>
      <w:contextualSpacing/>
      <w:jc w:val="center"/>
    </w:pPr>
    <w:rPr>
      <w:rFonts w:eastAsiaTheme="minorHAnsi" w:cstheme="minorBidi"/>
      <w:noProof/>
      <w:szCs w:val="22"/>
      <w:lang w:val="en-US"/>
    </w:rPr>
  </w:style>
  <w:style w:type="paragraph" w:styleId="af3">
    <w:name w:val="Subtitle"/>
    <w:basedOn w:val="a0"/>
    <w:next w:val="a0"/>
    <w:link w:val="af4"/>
    <w:uiPriority w:val="11"/>
    <w:qFormat/>
    <w:rsid w:val="00EB4B28"/>
    <w:pPr>
      <w:numPr>
        <w:ilvl w:val="1"/>
      </w:numPr>
      <w:spacing w:before="120" w:line="276" w:lineRule="auto"/>
      <w:ind w:firstLine="567"/>
    </w:pPr>
    <w:rPr>
      <w:rFonts w:eastAsiaTheme="majorEastAsia" w:cstheme="majorBidi"/>
      <w:b/>
      <w:iCs/>
      <w:spacing w:val="15"/>
      <w:szCs w:val="24"/>
      <w:lang w:eastAsia="en-US"/>
    </w:rPr>
  </w:style>
  <w:style w:type="character" w:customStyle="1" w:styleId="af4">
    <w:name w:val="Подзаголовок Знак"/>
    <w:basedOn w:val="a1"/>
    <w:link w:val="af3"/>
    <w:uiPriority w:val="11"/>
    <w:rsid w:val="00EB4B28"/>
    <w:rPr>
      <w:rFonts w:ascii="Times New Roman" w:eastAsiaTheme="majorEastAsia" w:hAnsi="Times New Roman" w:cstheme="majorBidi"/>
      <w:b/>
      <w:iCs/>
      <w:spacing w:val="15"/>
      <w:sz w:val="24"/>
      <w:szCs w:val="24"/>
    </w:rPr>
  </w:style>
  <w:style w:type="paragraph" w:customStyle="1" w:styleId="af5">
    <w:name w:val="Раздел"/>
    <w:basedOn w:val="a0"/>
    <w:qFormat/>
    <w:rsid w:val="00181BC9"/>
    <w:pPr>
      <w:spacing w:line="276" w:lineRule="auto"/>
      <w:jc w:val="center"/>
    </w:pPr>
    <w:rPr>
      <w:b/>
      <w:bCs/>
      <w:szCs w:val="28"/>
    </w:rPr>
  </w:style>
  <w:style w:type="paragraph" w:customStyle="1" w:styleId="af6">
    <w:name w:val="Название таблицы"/>
    <w:basedOn w:val="a0"/>
    <w:qFormat/>
    <w:rsid w:val="00181BC9"/>
    <w:pPr>
      <w:spacing w:before="120"/>
      <w:jc w:val="right"/>
    </w:pPr>
  </w:style>
  <w:style w:type="paragraph" w:customStyle="1" w:styleId="af7">
    <w:name w:val="Текст таблицы"/>
    <w:basedOn w:val="a0"/>
    <w:qFormat/>
    <w:rsid w:val="00181BC9"/>
    <w:pPr>
      <w:ind w:firstLine="0"/>
    </w:pPr>
    <w:rPr>
      <w:sz w:val="20"/>
    </w:rPr>
  </w:style>
  <w:style w:type="paragraph" w:customStyle="1" w:styleId="af8">
    <w:name w:val="Литерат. заголов."/>
    <w:basedOn w:val="af3"/>
    <w:qFormat/>
    <w:rsid w:val="00181BC9"/>
    <w:rPr>
      <w:i/>
      <w:iCs w:val="0"/>
    </w:rPr>
  </w:style>
  <w:style w:type="table" w:styleId="a6">
    <w:name w:val="Table Grid"/>
    <w:basedOn w:val="a2"/>
    <w:uiPriority w:val="39"/>
    <w:rsid w:val="00181BC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1">
    <w:name w:val="List Paragraph"/>
    <w:basedOn w:val="a0"/>
    <w:uiPriority w:val="34"/>
    <w:rsid w:val="00181BC9"/>
    <w:pPr>
      <w:ind w:left="720"/>
      <w:contextualSpacing/>
    </w:pPr>
  </w:style>
  <w:style w:type="character" w:customStyle="1" w:styleId="10">
    <w:name w:val="Заголовок 1 Знак"/>
    <w:basedOn w:val="a1"/>
    <w:link w:val="1"/>
    <w:uiPriority w:val="9"/>
    <w:rsid w:val="00702A4A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ru-RU"/>
    </w:rPr>
  </w:style>
  <w:style w:type="character" w:styleId="af9">
    <w:name w:val="Hyperlink"/>
    <w:basedOn w:val="a1"/>
    <w:uiPriority w:val="99"/>
    <w:unhideWhenUsed/>
    <w:rsid w:val="00DF7B72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png"/><Relationship Id="rId18" Type="http://schemas.openxmlformats.org/officeDocument/2006/relationships/image" Target="media/image12.png"/><Relationship Id="rId26" Type="http://schemas.openxmlformats.org/officeDocument/2006/relationships/fontTable" Target="fontTable.xml"/><Relationship Id="rId3" Type="http://schemas.microsoft.com/office/2007/relationships/stylesWithEffects" Target="stylesWithEffects.xml"/><Relationship Id="rId21" Type="http://schemas.openxmlformats.org/officeDocument/2006/relationships/image" Target="media/image15.png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17" Type="http://schemas.openxmlformats.org/officeDocument/2006/relationships/image" Target="media/image11.png"/><Relationship Id="rId25" Type="http://schemas.openxmlformats.org/officeDocument/2006/relationships/hyperlink" Target="https://knowledge.allbest.ru/radio/3c0b65635b3ad78b4c43b89521316c37_0.html" TargetMode="External"/><Relationship Id="rId2" Type="http://schemas.openxmlformats.org/officeDocument/2006/relationships/styles" Target="styles.xml"/><Relationship Id="rId16" Type="http://schemas.openxmlformats.org/officeDocument/2006/relationships/image" Target="media/image10.png"/><Relationship Id="rId20" Type="http://schemas.openxmlformats.org/officeDocument/2006/relationships/image" Target="media/image14.png"/><Relationship Id="rId1" Type="http://schemas.openxmlformats.org/officeDocument/2006/relationships/numbering" Target="numbering.xml"/><Relationship Id="rId6" Type="http://schemas.openxmlformats.org/officeDocument/2006/relationships/hyperlink" Target="mailto:adina.kasimova.99@mail.ru" TargetMode="External"/><Relationship Id="rId11" Type="http://schemas.openxmlformats.org/officeDocument/2006/relationships/image" Target="media/image5.png"/><Relationship Id="rId24" Type="http://schemas.openxmlformats.org/officeDocument/2006/relationships/hyperlink" Target="http://window.edu.ru/catalog/pdf2txt/747/21747/4960" TargetMode="External"/><Relationship Id="rId5" Type="http://schemas.openxmlformats.org/officeDocument/2006/relationships/webSettings" Target="webSettings.xml"/><Relationship Id="rId15" Type="http://schemas.openxmlformats.org/officeDocument/2006/relationships/image" Target="media/image9.png"/><Relationship Id="rId23" Type="http://schemas.openxmlformats.org/officeDocument/2006/relationships/hyperlink" Target="http://docplayer.net/21632715-Measurement-of-dielectric-material-properties.html" TargetMode="External"/><Relationship Id="rId10" Type="http://schemas.openxmlformats.org/officeDocument/2006/relationships/image" Target="media/image4.png"/><Relationship Id="rId19" Type="http://schemas.openxmlformats.org/officeDocument/2006/relationships/image" Target="media/image13.png"/><Relationship Id="rId4" Type="http://schemas.openxmlformats.org/officeDocument/2006/relationships/settings" Target="settings.xml"/><Relationship Id="rId9" Type="http://schemas.openxmlformats.org/officeDocument/2006/relationships/image" Target="media/image3.png"/><Relationship Id="rId14" Type="http://schemas.openxmlformats.org/officeDocument/2006/relationships/image" Target="media/image8.png"/><Relationship Id="rId22" Type="http://schemas.openxmlformats.org/officeDocument/2006/relationships/hyperlink" Target="https://kpfu.ru/docs/F312491640/gusev_diel_spectrosc.pdf" TargetMode="External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16</Pages>
  <Words>6111</Words>
  <Characters>34835</Characters>
  <Application>Microsoft Office Word</Application>
  <DocSecurity>0</DocSecurity>
  <Lines>290</Lines>
  <Paragraphs>81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40865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crossover</cp:lastModifiedBy>
  <cp:revision>2</cp:revision>
  <dcterms:created xsi:type="dcterms:W3CDTF">2021-12-22T11:54:00Z</dcterms:created>
  <dcterms:modified xsi:type="dcterms:W3CDTF">2021-12-22T11:54:00Z</dcterms:modified>
</cp:coreProperties>
</file>